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EDED7" w14:textId="02C1A3D1" w:rsidR="00E90E49" w:rsidRPr="00914AA4" w:rsidRDefault="00E90E49" w:rsidP="00E35559">
      <w:pPr>
        <w:pStyle w:val="3GPPHeader"/>
        <w:spacing w:after="60"/>
        <w:rPr>
          <w:sz w:val="32"/>
          <w:szCs w:val="32"/>
        </w:rPr>
      </w:pPr>
      <w:r w:rsidRPr="00D2583A">
        <w:t>3GPP TSG-RAN WG</w:t>
      </w:r>
      <w:r w:rsidR="00126758" w:rsidRPr="00D2583A">
        <w:t>2</w:t>
      </w:r>
      <w:r w:rsidRPr="00914AA4">
        <w:t xml:space="preserve"> #</w:t>
      </w:r>
      <w:r w:rsidR="00126758" w:rsidRPr="00914AA4">
        <w:t>10</w:t>
      </w:r>
      <w:r w:rsidR="00EC4447" w:rsidRPr="00914AA4">
        <w:t>6</w:t>
      </w:r>
      <w:r w:rsidRPr="00914AA4">
        <w:tab/>
      </w:r>
      <w:r w:rsidRPr="00914AA4">
        <w:rPr>
          <w:sz w:val="32"/>
          <w:szCs w:val="32"/>
        </w:rPr>
        <w:t xml:space="preserve">Tdoc </w:t>
      </w:r>
      <w:r w:rsidR="00091557" w:rsidRPr="00914AA4">
        <w:rPr>
          <w:sz w:val="32"/>
          <w:szCs w:val="32"/>
        </w:rPr>
        <w:t>R2-</w:t>
      </w:r>
      <w:r w:rsidR="005F3025" w:rsidRPr="00914AA4">
        <w:rPr>
          <w:sz w:val="32"/>
          <w:szCs w:val="32"/>
        </w:rPr>
        <w:t>1</w:t>
      </w:r>
      <w:r w:rsidR="00126758" w:rsidRPr="00914AA4">
        <w:rPr>
          <w:sz w:val="32"/>
          <w:szCs w:val="32"/>
        </w:rPr>
        <w:t>9</w:t>
      </w:r>
      <w:r w:rsidR="00693D03" w:rsidRPr="00914AA4">
        <w:rPr>
          <w:sz w:val="32"/>
          <w:szCs w:val="32"/>
        </w:rPr>
        <w:t>06952</w:t>
      </w:r>
    </w:p>
    <w:p w14:paraId="44C7B878" w14:textId="77777777" w:rsidR="00E90E49" w:rsidRPr="00A52464" w:rsidRDefault="00EC4447" w:rsidP="00311702">
      <w:pPr>
        <w:pStyle w:val="3GPPHeader"/>
      </w:pPr>
      <w:r w:rsidRPr="00A52464">
        <w:t>Reno, USA,</w:t>
      </w:r>
      <w:r w:rsidR="00126758" w:rsidRPr="00A52464">
        <w:t xml:space="preserve"> </w:t>
      </w:r>
      <w:r w:rsidRPr="00A52464">
        <w:t>13</w:t>
      </w:r>
      <w:r w:rsidRPr="00A52464">
        <w:rPr>
          <w:vertAlign w:val="superscript"/>
        </w:rPr>
        <w:t>th</w:t>
      </w:r>
      <w:r w:rsidRPr="00A52464">
        <w:t xml:space="preserve"> – 17</w:t>
      </w:r>
      <w:r w:rsidRPr="00A52464">
        <w:rPr>
          <w:vertAlign w:val="superscript"/>
        </w:rPr>
        <w:t>th</w:t>
      </w:r>
      <w:r w:rsidRPr="00A52464">
        <w:t xml:space="preserve"> May</w:t>
      </w:r>
      <w:r w:rsidR="00126758" w:rsidRPr="00A52464">
        <w:t xml:space="preserve"> 2019</w:t>
      </w:r>
    </w:p>
    <w:p w14:paraId="3CFCAFAE" w14:textId="77777777" w:rsidR="00E90E49" w:rsidRPr="00A52464" w:rsidRDefault="00E90E49" w:rsidP="00357380">
      <w:pPr>
        <w:pStyle w:val="3GPPHeader"/>
      </w:pPr>
    </w:p>
    <w:p w14:paraId="44EC891E" w14:textId="4C5CA46A" w:rsidR="00E90E49" w:rsidRPr="00603E13" w:rsidRDefault="00E90E49" w:rsidP="00311702">
      <w:pPr>
        <w:pStyle w:val="3GPPHeader"/>
        <w:rPr>
          <w:sz w:val="22"/>
        </w:rPr>
      </w:pPr>
      <w:r w:rsidRPr="00603E13">
        <w:rPr>
          <w:sz w:val="22"/>
        </w:rPr>
        <w:t>Agenda Item:</w:t>
      </w:r>
      <w:r w:rsidRPr="00603E13">
        <w:rPr>
          <w:sz w:val="22"/>
        </w:rPr>
        <w:tab/>
      </w:r>
      <w:r w:rsidR="00D7766C" w:rsidRPr="00603E13">
        <w:rPr>
          <w:sz w:val="22"/>
        </w:rPr>
        <w:t>11.13.4</w:t>
      </w:r>
    </w:p>
    <w:p w14:paraId="415514BF" w14:textId="77777777" w:rsidR="00E90E49" w:rsidRPr="00A52464" w:rsidRDefault="003D3C45" w:rsidP="00F64C2B">
      <w:pPr>
        <w:pStyle w:val="3GPPHeader"/>
        <w:rPr>
          <w:sz w:val="22"/>
        </w:rPr>
      </w:pPr>
      <w:r w:rsidRPr="00A52464">
        <w:rPr>
          <w:sz w:val="22"/>
        </w:rPr>
        <w:t>Source:</w:t>
      </w:r>
      <w:r w:rsidR="00E90E49" w:rsidRPr="00A52464">
        <w:rPr>
          <w:sz w:val="22"/>
        </w:rPr>
        <w:tab/>
      </w:r>
      <w:r w:rsidR="00F64C2B" w:rsidRPr="00A52464">
        <w:rPr>
          <w:sz w:val="22"/>
        </w:rPr>
        <w:t>Ericsson</w:t>
      </w:r>
    </w:p>
    <w:p w14:paraId="7809BCD9" w14:textId="021B8DCF" w:rsidR="00E90E49" w:rsidRPr="00A52464" w:rsidRDefault="003D3C45" w:rsidP="00311702">
      <w:pPr>
        <w:pStyle w:val="3GPPHeader"/>
        <w:rPr>
          <w:sz w:val="22"/>
        </w:rPr>
      </w:pPr>
      <w:r w:rsidRPr="00A52464">
        <w:rPr>
          <w:sz w:val="22"/>
        </w:rPr>
        <w:t>Title:</w:t>
      </w:r>
      <w:r w:rsidR="00E90E49" w:rsidRPr="00A52464">
        <w:rPr>
          <w:sz w:val="22"/>
        </w:rPr>
        <w:tab/>
      </w:r>
      <w:r w:rsidR="00DE6DFB" w:rsidRPr="00A52464">
        <w:rPr>
          <w:sz w:val="22"/>
        </w:rPr>
        <w:t>Multiplexing and MsgB</w:t>
      </w:r>
      <w:r w:rsidR="00146B3C">
        <w:rPr>
          <w:sz w:val="22"/>
        </w:rPr>
        <w:t xml:space="preserve"> in 2-step RA</w:t>
      </w:r>
    </w:p>
    <w:p w14:paraId="289ECC64" w14:textId="77777777" w:rsidR="00E90E49" w:rsidRPr="00A52464" w:rsidRDefault="00E90E49" w:rsidP="00D546FF">
      <w:pPr>
        <w:pStyle w:val="3GPPHeader"/>
        <w:rPr>
          <w:sz w:val="22"/>
        </w:rPr>
      </w:pPr>
      <w:r w:rsidRPr="00A52464">
        <w:rPr>
          <w:sz w:val="22"/>
        </w:rPr>
        <w:t>Document for:</w:t>
      </w:r>
      <w:r w:rsidRPr="00A52464">
        <w:rPr>
          <w:sz w:val="22"/>
        </w:rPr>
        <w:tab/>
        <w:t>Discussion, Decision</w:t>
      </w:r>
    </w:p>
    <w:p w14:paraId="6F13E008" w14:textId="77777777" w:rsidR="00E90E49" w:rsidRPr="00A52464" w:rsidRDefault="00E90E49" w:rsidP="00E90E49"/>
    <w:p w14:paraId="68868C96" w14:textId="77777777" w:rsidR="00E90E49" w:rsidRPr="00CE0424" w:rsidRDefault="00230D18" w:rsidP="00CE0424">
      <w:pPr>
        <w:pStyle w:val="Heading1"/>
      </w:pPr>
      <w:r>
        <w:t>1</w:t>
      </w:r>
      <w:r>
        <w:tab/>
      </w:r>
      <w:r w:rsidR="00E90E49" w:rsidRPr="00CE0424">
        <w:t>Introduction</w:t>
      </w:r>
    </w:p>
    <w:p w14:paraId="0CCC5619" w14:textId="45D49F1D" w:rsidR="00477768" w:rsidRPr="00A52464" w:rsidRDefault="00DE6DFB" w:rsidP="00CE0424">
      <w:pPr>
        <w:pStyle w:val="BodyText"/>
      </w:pPr>
      <w:r w:rsidRPr="00972474">
        <w:t>For RAN2#106 an e-mail discussion</w:t>
      </w:r>
      <w:r w:rsidR="00A1777B">
        <w:t xml:space="preserve"> on “Procedures and msgB </w:t>
      </w:r>
      <w:r w:rsidR="00A1777B" w:rsidRPr="00D63518">
        <w:t>content”</w:t>
      </w:r>
      <w:r w:rsidR="00D63518" w:rsidRPr="00D63518">
        <w:t xml:space="preserve"> (</w:t>
      </w:r>
      <w:r w:rsidRPr="00D63518">
        <w:t>10</w:t>
      </w:r>
      <w:r w:rsidR="00972474" w:rsidRPr="00D63518">
        <w:t>5bis#30</w:t>
      </w:r>
      <w:r w:rsidR="00D63518" w:rsidRPr="00D63518">
        <w:t>)</w:t>
      </w:r>
      <w:r w:rsidRPr="00D63518">
        <w:t xml:space="preserve"> was</w:t>
      </w:r>
      <w:r w:rsidRPr="00972474">
        <w:t xml:space="preserve"> held. </w:t>
      </w:r>
      <w:r w:rsidRPr="00A52464">
        <w:t>One of the key questions discussed was the multiplexing of msgB, that is whether msgB should be transmitted to multiple UEs or not. While a significant number of companies supported multiplexing</w:t>
      </w:r>
      <w:r w:rsidR="00940592" w:rsidRPr="00A52464">
        <w:t>,</w:t>
      </w:r>
      <w:r w:rsidRPr="00A52464">
        <w:t xml:space="preserve"> technical discussion and justification for this solution was absent. In this paper we argue that while it is possible to design msgB such that it would be transmitted to multiple UEs RAN2</w:t>
      </w:r>
      <w:r w:rsidR="00940592" w:rsidRPr="00A52464">
        <w:t>,</w:t>
      </w:r>
      <w:r w:rsidRPr="00A52464">
        <w:t xml:space="preserve"> it is a very inefficient solution. Instead RAN2 should investigate the structure of msgB more.</w:t>
      </w:r>
    </w:p>
    <w:p w14:paraId="160FBD60" w14:textId="3CE4D269" w:rsidR="004000E8" w:rsidRDefault="00230D18" w:rsidP="00CE0424">
      <w:pPr>
        <w:pStyle w:val="Heading1"/>
      </w:pPr>
      <w:bookmarkStart w:id="0" w:name="_Ref178064866"/>
      <w:r>
        <w:t>2</w:t>
      </w:r>
      <w:r>
        <w:tab/>
      </w:r>
      <w:r w:rsidR="004000E8" w:rsidRPr="00CE0424">
        <w:t>Discussion</w:t>
      </w:r>
      <w:bookmarkEnd w:id="0"/>
    </w:p>
    <w:p w14:paraId="05946D0F" w14:textId="4D955338" w:rsidR="003F67ED" w:rsidRPr="00FB7937" w:rsidRDefault="00472F78" w:rsidP="00717FF5">
      <w:pPr>
        <w:pStyle w:val="BodyText"/>
      </w:pPr>
      <w:r w:rsidRPr="00A52464">
        <w:t xml:space="preserve">There are many scenarios for random access. </w:t>
      </w:r>
      <w:r w:rsidRPr="00FB7937">
        <w:t>Throughout this paper we will focus on UEs in RRC_IDLE performing RA to establish a connection</w:t>
      </w:r>
      <w:r w:rsidR="00FB7937" w:rsidRPr="00FB7937">
        <w:t xml:space="preserve"> </w:t>
      </w:r>
      <w:r w:rsidR="00FB7937">
        <w:t xml:space="preserve">and we </w:t>
      </w:r>
      <w:r w:rsidR="003F67ED" w:rsidRPr="00FB7937">
        <w:t>do not address fallback and back off</w:t>
      </w:r>
      <w:r w:rsidR="00FB7937">
        <w:t xml:space="preserve"> unless otherwise state</w:t>
      </w:r>
      <w:r w:rsidR="00904769">
        <w:t>d</w:t>
      </w:r>
      <w:r w:rsidR="003F67ED" w:rsidRPr="00FB7937">
        <w:t>.</w:t>
      </w:r>
      <w:r w:rsidRPr="00FB7937">
        <w:t xml:space="preserve"> </w:t>
      </w:r>
      <w:r w:rsidR="003F67ED" w:rsidRPr="00FB7937">
        <w:t>While this is the focus of the paper, the points made hold for other scenarios too.</w:t>
      </w:r>
    </w:p>
    <w:p w14:paraId="3168E71A" w14:textId="675D4D60" w:rsidR="00C22904" w:rsidRPr="00A52464" w:rsidRDefault="00472F78" w:rsidP="00717FF5">
      <w:pPr>
        <w:pStyle w:val="BodyText"/>
      </w:pPr>
      <w:r w:rsidRPr="00A52464">
        <w:t xml:space="preserve">Broadly speaking, msgB will contain msg2 (RAR) and msg4 (RRC Setup). </w:t>
      </w:r>
      <w:r w:rsidR="00A2661C" w:rsidRPr="00A52464">
        <w:t xml:space="preserve">Msg2 is scrambled with RA-RNTI and </w:t>
      </w:r>
      <w:r w:rsidR="00126008" w:rsidRPr="00A52464">
        <w:t>has the following struct</w:t>
      </w:r>
      <w:r w:rsidR="00717FF5" w:rsidRPr="00A52464">
        <w:t>u</w:t>
      </w:r>
      <w:r w:rsidR="00126008" w:rsidRPr="00A52464">
        <w:t>re</w:t>
      </w:r>
      <w:r w:rsidR="00A2661C" w:rsidRPr="00A52464">
        <w:t>:</w:t>
      </w:r>
    </w:p>
    <w:p w14:paraId="5B7DD32B" w14:textId="27393A28" w:rsidR="00A2661C" w:rsidRDefault="00C92408" w:rsidP="00717FF5">
      <w:pPr>
        <w:pStyle w:val="Figure"/>
      </w:pPr>
      <w:r w:rsidRPr="000B541D">
        <w:rPr>
          <w:noProof/>
        </w:rPr>
        <w:object w:dxaOrig="13351" w:dyaOrig="2865" w14:anchorId="1A3D3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2pt" o:ole="">
            <v:imagedata r:id="rId13" o:title=""/>
          </v:shape>
          <o:OLEObject Type="Embed" ProgID="Visio.Drawing.15" ShapeID="_x0000_i1025" DrawAspect="Content" ObjectID="_1618298222" r:id="rId14"/>
        </w:object>
      </w:r>
    </w:p>
    <w:p w14:paraId="5978E666" w14:textId="6373C5EB" w:rsidR="00126008" w:rsidRPr="00BD5EEE" w:rsidRDefault="00717FF5" w:rsidP="00BD5EEE">
      <w:pPr>
        <w:pStyle w:val="TF"/>
        <w:rPr>
          <w:sz w:val="20"/>
          <w:szCs w:val="20"/>
        </w:rPr>
      </w:pPr>
      <w:r w:rsidRPr="00BD5EEE">
        <w:rPr>
          <w:sz w:val="20"/>
          <w:szCs w:val="20"/>
        </w:rPr>
        <w:t>Figure 1 – The structure of msg2 PDU</w:t>
      </w:r>
    </w:p>
    <w:p w14:paraId="0396C8CF" w14:textId="27CE7C44" w:rsidR="00503B5F" w:rsidRPr="00A52464" w:rsidRDefault="00503B5F" w:rsidP="00717FF5">
      <w:pPr>
        <w:pStyle w:val="BodyText"/>
      </w:pPr>
      <w:r w:rsidRPr="00A52464">
        <w:rPr>
          <w:szCs w:val="20"/>
        </w:rPr>
        <w:t xml:space="preserve">In the case for successful reception of msg1, msg2 contains </w:t>
      </w:r>
      <w:r w:rsidR="00950DF7" w:rsidRPr="00A52464">
        <w:rPr>
          <w:szCs w:val="20"/>
        </w:rPr>
        <w:t xml:space="preserve">a string of (E/T/RAPID subheader, MAC RAR) pairs, each corresponding to each preamble received by the network in the corresponding </w:t>
      </w:r>
      <w:r w:rsidR="001334C7" w:rsidRPr="00A52464">
        <w:rPr>
          <w:szCs w:val="20"/>
        </w:rPr>
        <w:t xml:space="preserve">random access occasion. The RA-RNTI is computed based on the random access </w:t>
      </w:r>
      <w:r w:rsidR="00764AA3" w:rsidRPr="00A52464">
        <w:rPr>
          <w:szCs w:val="20"/>
        </w:rPr>
        <w:t>occasion</w:t>
      </w:r>
      <w:r w:rsidR="00764AA3" w:rsidRPr="00A52464">
        <w:t xml:space="preserve">, meaning that all UEs which transmitted in the same random access occasion </w:t>
      </w:r>
      <w:r w:rsidR="003F0813" w:rsidRPr="00A52464">
        <w:t xml:space="preserve">receive the same msg2 PDU. </w:t>
      </w:r>
    </w:p>
    <w:p w14:paraId="3D7DD34A" w14:textId="6850E602" w:rsidR="00CE6E0D" w:rsidRDefault="00204CE1" w:rsidP="00204CE1">
      <w:pPr>
        <w:pStyle w:val="Heading2"/>
      </w:pPr>
      <w:r>
        <w:t>2.1</w:t>
      </w:r>
      <w:r>
        <w:tab/>
        <w:t>Size of msgB</w:t>
      </w:r>
    </w:p>
    <w:p w14:paraId="37820A1B" w14:textId="51D01C5B" w:rsidR="00247FD3" w:rsidRPr="00972474" w:rsidRDefault="00247FD3" w:rsidP="003B3350">
      <w:pPr>
        <w:pStyle w:val="BodyText"/>
      </w:pPr>
      <w:r w:rsidRPr="00A52464">
        <w:t xml:space="preserve">The size of the MAC RAR is </w:t>
      </w:r>
      <w:r w:rsidR="006A477D" w:rsidRPr="00A52464">
        <w:t xml:space="preserve">7 </w:t>
      </w:r>
      <w:r w:rsidR="00D10F64" w:rsidRPr="00A52464">
        <w:t>bytes</w:t>
      </w:r>
      <w:r w:rsidR="006A477D" w:rsidRPr="00A52464">
        <w:t xml:space="preserve"> and the subheader is 1 byte. </w:t>
      </w:r>
      <w:r w:rsidR="006A477D" w:rsidRPr="00972474">
        <w:t>The total size of the msg2 PDU is therefore 8*n where n is the number of U</w:t>
      </w:r>
      <w:r w:rsidR="00972474">
        <w:t>Es it is transmitted to</w:t>
      </w:r>
      <w:r w:rsidR="006A477D" w:rsidRPr="00972474">
        <w:t>.</w:t>
      </w:r>
      <w:r w:rsidR="00A03074" w:rsidRPr="00972474">
        <w:t xml:space="preserve"> Again, we only consider successful RA.</w:t>
      </w:r>
    </w:p>
    <w:p w14:paraId="589FF4BC" w14:textId="5B705419" w:rsidR="00FA7BF5" w:rsidRPr="00A52464" w:rsidRDefault="00D63428" w:rsidP="003B3350">
      <w:pPr>
        <w:pStyle w:val="BodyText"/>
      </w:pPr>
      <w:r w:rsidRPr="00A52464">
        <w:t>In the e-mail discussion a majority of companies prefer to send msgB to multiple UEs</w:t>
      </w:r>
      <w:r w:rsidR="00A03074" w:rsidRPr="00A52464">
        <w:t xml:space="preserve">, but the technical justification is missing. </w:t>
      </w:r>
      <w:r w:rsidR="00186EDE" w:rsidRPr="00A52464">
        <w:t xml:space="preserve">Using the msg2 PDU as baseline we can </w:t>
      </w:r>
      <w:r w:rsidR="00F47D18" w:rsidRPr="00A52464">
        <w:t>suppose that we replace the UE-specific MAC RAR in msg2 with a component which contains the RAR plus msg4.</w:t>
      </w:r>
      <w:r w:rsidR="00F704C2" w:rsidRPr="00A52464">
        <w:t xml:space="preserve"> </w:t>
      </w:r>
      <w:r w:rsidR="000C73CC" w:rsidRPr="00A52464">
        <w:t xml:space="preserve">We will call this RAR “RAR_B” not to confuse it with the RAR in msg2 from now on. </w:t>
      </w:r>
      <w:r w:rsidR="008033A3" w:rsidRPr="00A52464">
        <w:t xml:space="preserve">It is an open question what the exact contents of the </w:t>
      </w:r>
      <w:r w:rsidR="001017F7" w:rsidRPr="00A52464">
        <w:t>RAR</w:t>
      </w:r>
      <w:r w:rsidR="000C73CC" w:rsidRPr="00A52464">
        <w:t>_B</w:t>
      </w:r>
      <w:r w:rsidR="001017F7" w:rsidRPr="00A52464">
        <w:t xml:space="preserve"> is</w:t>
      </w:r>
      <w:r w:rsidR="00E263F8" w:rsidRPr="00A52464">
        <w:t xml:space="preserve">, but </w:t>
      </w:r>
      <w:r w:rsidR="000C73CC" w:rsidRPr="00A52464">
        <w:t>we can guess based on the contents of RAR.</w:t>
      </w:r>
      <w:r w:rsidR="00FA7BF5" w:rsidRPr="00A52464">
        <w:t xml:space="preserve"> </w:t>
      </w:r>
      <w:r w:rsidR="00017347" w:rsidRPr="00A52464">
        <w:t>We can also add the contention resolution MAC CE to the RAR_B as it is part of msg4.</w:t>
      </w:r>
    </w:p>
    <w:p w14:paraId="7F572921" w14:textId="7F7AF83C" w:rsidR="00A74DD9" w:rsidRPr="00C8116D" w:rsidRDefault="00A74DD9" w:rsidP="00C8116D">
      <w:pPr>
        <w:pStyle w:val="TH"/>
        <w:rPr>
          <w:sz w:val="20"/>
        </w:rPr>
      </w:pPr>
      <w:r w:rsidRPr="00C8116D">
        <w:rPr>
          <w:sz w:val="20"/>
        </w:rPr>
        <w:t xml:space="preserve">Table 1 </w:t>
      </w:r>
      <w:r w:rsidR="00C8116D" w:rsidRPr="00C8116D">
        <w:rPr>
          <w:sz w:val="20"/>
        </w:rPr>
        <w:t>–</w:t>
      </w:r>
      <w:r w:rsidRPr="00C8116D">
        <w:rPr>
          <w:sz w:val="20"/>
        </w:rPr>
        <w:t xml:space="preserve"> </w:t>
      </w:r>
      <w:r w:rsidR="00C8116D" w:rsidRPr="00C8116D">
        <w:rPr>
          <w:sz w:val="20"/>
        </w:rPr>
        <w:t>Size of RAR_B and various fields therein</w:t>
      </w:r>
    </w:p>
    <w:tbl>
      <w:tblPr>
        <w:tblStyle w:val="TableGrid"/>
        <w:tblW w:w="0" w:type="auto"/>
        <w:jc w:val="center"/>
        <w:tblLook w:val="04A0" w:firstRow="1" w:lastRow="0" w:firstColumn="1" w:lastColumn="0" w:noHBand="0" w:noVBand="1"/>
      </w:tblPr>
      <w:tblGrid>
        <w:gridCol w:w="2976"/>
        <w:gridCol w:w="1277"/>
      </w:tblGrid>
      <w:tr w:rsidR="00670BFE" w:rsidRPr="003B3350" w14:paraId="760553B2" w14:textId="77777777" w:rsidTr="00C8116D">
        <w:trPr>
          <w:jc w:val="center"/>
        </w:trPr>
        <w:tc>
          <w:tcPr>
            <w:tcW w:w="2976" w:type="dxa"/>
            <w:vAlign w:val="center"/>
          </w:tcPr>
          <w:p w14:paraId="1C1BA572" w14:textId="60C681CD" w:rsidR="00670BFE" w:rsidRPr="003B3350" w:rsidRDefault="00670BFE" w:rsidP="008F122A">
            <w:pPr>
              <w:rPr>
                <w:rFonts w:ascii="Arial" w:hAnsi="Arial" w:cs="Arial"/>
                <w:b/>
                <w:sz w:val="20"/>
                <w:szCs w:val="20"/>
              </w:rPr>
            </w:pPr>
            <w:r w:rsidRPr="003B3350">
              <w:rPr>
                <w:rFonts w:ascii="Arial" w:hAnsi="Arial" w:cs="Arial"/>
                <w:b/>
                <w:sz w:val="20"/>
                <w:szCs w:val="20"/>
              </w:rPr>
              <w:t>Component</w:t>
            </w:r>
          </w:p>
        </w:tc>
        <w:tc>
          <w:tcPr>
            <w:tcW w:w="1277" w:type="dxa"/>
            <w:vAlign w:val="center"/>
          </w:tcPr>
          <w:p w14:paraId="6BA6B89D" w14:textId="786F9A81" w:rsidR="00670BFE" w:rsidRPr="003B3350" w:rsidRDefault="00670BFE" w:rsidP="008F122A">
            <w:pPr>
              <w:jc w:val="right"/>
              <w:rPr>
                <w:rFonts w:ascii="Arial" w:hAnsi="Arial" w:cs="Arial"/>
                <w:b/>
                <w:sz w:val="20"/>
                <w:szCs w:val="20"/>
              </w:rPr>
            </w:pPr>
            <w:r w:rsidRPr="003B3350">
              <w:rPr>
                <w:rFonts w:ascii="Arial" w:hAnsi="Arial" w:cs="Arial"/>
                <w:b/>
                <w:sz w:val="20"/>
                <w:szCs w:val="20"/>
              </w:rPr>
              <w:t>Size (bits)</w:t>
            </w:r>
          </w:p>
        </w:tc>
      </w:tr>
      <w:tr w:rsidR="00670BFE" w:rsidRPr="003B3350" w14:paraId="2457CA54" w14:textId="77777777" w:rsidTr="00C8116D">
        <w:trPr>
          <w:jc w:val="center"/>
        </w:trPr>
        <w:tc>
          <w:tcPr>
            <w:tcW w:w="2976" w:type="dxa"/>
            <w:vAlign w:val="center"/>
          </w:tcPr>
          <w:p w14:paraId="4568CCD3" w14:textId="62B58AB6" w:rsidR="00670BFE" w:rsidRPr="003B3350" w:rsidRDefault="00670BFE" w:rsidP="008F122A">
            <w:pPr>
              <w:rPr>
                <w:rFonts w:ascii="Arial" w:hAnsi="Arial" w:cs="Arial"/>
                <w:sz w:val="20"/>
                <w:szCs w:val="20"/>
              </w:rPr>
            </w:pPr>
            <w:r w:rsidRPr="003B3350">
              <w:rPr>
                <w:rFonts w:ascii="Arial" w:hAnsi="Arial" w:cs="Arial"/>
                <w:sz w:val="20"/>
                <w:szCs w:val="20"/>
              </w:rPr>
              <w:t>TA command</w:t>
            </w:r>
          </w:p>
        </w:tc>
        <w:tc>
          <w:tcPr>
            <w:tcW w:w="1277" w:type="dxa"/>
            <w:vAlign w:val="center"/>
          </w:tcPr>
          <w:p w14:paraId="6086898D" w14:textId="6B40005F" w:rsidR="00670BFE" w:rsidRPr="003B3350" w:rsidRDefault="00670BFE" w:rsidP="008F122A">
            <w:pPr>
              <w:jc w:val="right"/>
              <w:rPr>
                <w:rFonts w:ascii="Arial" w:hAnsi="Arial" w:cs="Arial"/>
                <w:sz w:val="20"/>
                <w:szCs w:val="20"/>
              </w:rPr>
            </w:pPr>
            <w:r w:rsidRPr="003B3350">
              <w:rPr>
                <w:rFonts w:ascii="Arial" w:hAnsi="Arial" w:cs="Arial"/>
                <w:sz w:val="20"/>
                <w:szCs w:val="20"/>
              </w:rPr>
              <w:t>12</w:t>
            </w:r>
          </w:p>
        </w:tc>
      </w:tr>
      <w:tr w:rsidR="00670BFE" w:rsidRPr="003B3350" w14:paraId="6AF767B0" w14:textId="77777777" w:rsidTr="00C8116D">
        <w:trPr>
          <w:jc w:val="center"/>
        </w:trPr>
        <w:tc>
          <w:tcPr>
            <w:tcW w:w="2976" w:type="dxa"/>
            <w:vAlign w:val="center"/>
          </w:tcPr>
          <w:p w14:paraId="56F9C5C4" w14:textId="45317C9F" w:rsidR="00670BFE" w:rsidRPr="003B3350" w:rsidRDefault="00017347" w:rsidP="008F122A">
            <w:pPr>
              <w:rPr>
                <w:rFonts w:ascii="Arial" w:hAnsi="Arial" w:cs="Arial"/>
                <w:sz w:val="20"/>
                <w:szCs w:val="20"/>
              </w:rPr>
            </w:pPr>
            <w:r w:rsidRPr="003B3350">
              <w:rPr>
                <w:rFonts w:ascii="Arial" w:hAnsi="Arial" w:cs="Arial"/>
                <w:sz w:val="20"/>
                <w:szCs w:val="20"/>
              </w:rPr>
              <w:t>TC-RNTI</w:t>
            </w:r>
          </w:p>
        </w:tc>
        <w:tc>
          <w:tcPr>
            <w:tcW w:w="1277" w:type="dxa"/>
            <w:vAlign w:val="center"/>
          </w:tcPr>
          <w:p w14:paraId="4724D475" w14:textId="4BDE1FD9" w:rsidR="00670BFE" w:rsidRPr="003B3350" w:rsidRDefault="00017347" w:rsidP="008F122A">
            <w:pPr>
              <w:jc w:val="right"/>
              <w:rPr>
                <w:rFonts w:ascii="Arial" w:hAnsi="Arial" w:cs="Arial"/>
                <w:sz w:val="20"/>
                <w:szCs w:val="20"/>
              </w:rPr>
            </w:pPr>
            <w:r w:rsidRPr="003B3350">
              <w:rPr>
                <w:rFonts w:ascii="Arial" w:hAnsi="Arial" w:cs="Arial"/>
                <w:sz w:val="20"/>
                <w:szCs w:val="20"/>
              </w:rPr>
              <w:t>16</w:t>
            </w:r>
          </w:p>
        </w:tc>
      </w:tr>
      <w:tr w:rsidR="00670BFE" w:rsidRPr="003B3350" w14:paraId="6ADC9EF7" w14:textId="77777777" w:rsidTr="00C8116D">
        <w:trPr>
          <w:jc w:val="center"/>
        </w:trPr>
        <w:tc>
          <w:tcPr>
            <w:tcW w:w="2976" w:type="dxa"/>
            <w:vAlign w:val="center"/>
          </w:tcPr>
          <w:p w14:paraId="3051CD50" w14:textId="21F2C6D2" w:rsidR="00670BFE" w:rsidRPr="003B3350" w:rsidRDefault="00017347" w:rsidP="008F122A">
            <w:pPr>
              <w:rPr>
                <w:rFonts w:ascii="Arial" w:hAnsi="Arial" w:cs="Arial"/>
                <w:sz w:val="20"/>
                <w:szCs w:val="20"/>
              </w:rPr>
            </w:pPr>
            <w:r w:rsidRPr="003B3350">
              <w:rPr>
                <w:rFonts w:ascii="Arial" w:hAnsi="Arial" w:cs="Arial"/>
                <w:sz w:val="20"/>
                <w:szCs w:val="20"/>
              </w:rPr>
              <w:t>UL grant</w:t>
            </w:r>
          </w:p>
        </w:tc>
        <w:tc>
          <w:tcPr>
            <w:tcW w:w="1277" w:type="dxa"/>
            <w:vAlign w:val="center"/>
          </w:tcPr>
          <w:p w14:paraId="4D3E5200" w14:textId="2BB8A872" w:rsidR="00670BFE" w:rsidRPr="003B3350" w:rsidRDefault="00017347" w:rsidP="008F122A">
            <w:pPr>
              <w:jc w:val="right"/>
              <w:rPr>
                <w:rFonts w:ascii="Arial" w:hAnsi="Arial" w:cs="Arial"/>
                <w:sz w:val="20"/>
                <w:szCs w:val="20"/>
              </w:rPr>
            </w:pPr>
            <w:r w:rsidRPr="003B3350">
              <w:rPr>
                <w:rFonts w:ascii="Arial" w:hAnsi="Arial" w:cs="Arial"/>
                <w:sz w:val="20"/>
                <w:szCs w:val="20"/>
              </w:rPr>
              <w:t>23</w:t>
            </w:r>
          </w:p>
        </w:tc>
      </w:tr>
      <w:tr w:rsidR="00670BFE" w:rsidRPr="003B3350" w14:paraId="1453E97E" w14:textId="77777777" w:rsidTr="00C8116D">
        <w:trPr>
          <w:jc w:val="center"/>
        </w:trPr>
        <w:tc>
          <w:tcPr>
            <w:tcW w:w="2976" w:type="dxa"/>
            <w:vAlign w:val="center"/>
          </w:tcPr>
          <w:p w14:paraId="2CCB692F" w14:textId="3411AB71" w:rsidR="00670BFE" w:rsidRPr="003B3350" w:rsidRDefault="00B010F9" w:rsidP="008F122A">
            <w:pPr>
              <w:rPr>
                <w:rFonts w:ascii="Arial" w:hAnsi="Arial" w:cs="Arial"/>
                <w:sz w:val="20"/>
                <w:szCs w:val="20"/>
              </w:rPr>
            </w:pPr>
            <w:r w:rsidRPr="003B3350">
              <w:rPr>
                <w:rFonts w:ascii="Arial" w:hAnsi="Arial" w:cs="Arial"/>
                <w:sz w:val="20"/>
                <w:szCs w:val="20"/>
              </w:rPr>
              <w:t>Contention resolution identity</w:t>
            </w:r>
          </w:p>
        </w:tc>
        <w:tc>
          <w:tcPr>
            <w:tcW w:w="1277" w:type="dxa"/>
            <w:vAlign w:val="center"/>
          </w:tcPr>
          <w:p w14:paraId="128F08DE" w14:textId="5EE97460" w:rsidR="00670BFE" w:rsidRPr="003B3350" w:rsidRDefault="00B010F9" w:rsidP="008F122A">
            <w:pPr>
              <w:jc w:val="right"/>
              <w:rPr>
                <w:rFonts w:ascii="Arial" w:hAnsi="Arial" w:cs="Arial"/>
                <w:sz w:val="20"/>
                <w:szCs w:val="20"/>
              </w:rPr>
            </w:pPr>
            <w:r w:rsidRPr="003B3350">
              <w:rPr>
                <w:rFonts w:ascii="Arial" w:hAnsi="Arial" w:cs="Arial"/>
                <w:sz w:val="20"/>
                <w:szCs w:val="20"/>
              </w:rPr>
              <w:t>48</w:t>
            </w:r>
          </w:p>
        </w:tc>
      </w:tr>
      <w:tr w:rsidR="00670BFE" w:rsidRPr="003B3350" w14:paraId="198CC5B9" w14:textId="77777777" w:rsidTr="00C8116D">
        <w:trPr>
          <w:jc w:val="center"/>
        </w:trPr>
        <w:tc>
          <w:tcPr>
            <w:tcW w:w="2976" w:type="dxa"/>
            <w:vAlign w:val="center"/>
          </w:tcPr>
          <w:p w14:paraId="72314D21" w14:textId="44B07516" w:rsidR="00670BFE" w:rsidRPr="00A52464" w:rsidRDefault="00B010F9" w:rsidP="008F122A">
            <w:pPr>
              <w:rPr>
                <w:rFonts w:ascii="Arial" w:hAnsi="Arial" w:cs="Arial"/>
                <w:sz w:val="20"/>
                <w:szCs w:val="20"/>
              </w:rPr>
            </w:pPr>
            <w:r w:rsidRPr="00A52464">
              <w:rPr>
                <w:rFonts w:ascii="Arial" w:hAnsi="Arial" w:cs="Arial"/>
                <w:sz w:val="20"/>
                <w:szCs w:val="20"/>
              </w:rPr>
              <w:t>R-bits (for octet alignment)</w:t>
            </w:r>
          </w:p>
        </w:tc>
        <w:tc>
          <w:tcPr>
            <w:tcW w:w="1277" w:type="dxa"/>
            <w:vAlign w:val="center"/>
          </w:tcPr>
          <w:p w14:paraId="6868DA54" w14:textId="3DA0629A" w:rsidR="00670BFE" w:rsidRPr="003B3350" w:rsidRDefault="0091297E" w:rsidP="008F122A">
            <w:pPr>
              <w:jc w:val="right"/>
              <w:rPr>
                <w:rFonts w:ascii="Arial" w:hAnsi="Arial" w:cs="Arial"/>
                <w:sz w:val="20"/>
                <w:szCs w:val="20"/>
              </w:rPr>
            </w:pPr>
            <w:r w:rsidRPr="003B3350">
              <w:rPr>
                <w:rFonts w:ascii="Arial" w:hAnsi="Arial" w:cs="Arial"/>
                <w:sz w:val="20"/>
                <w:szCs w:val="20"/>
              </w:rPr>
              <w:t>5</w:t>
            </w:r>
          </w:p>
        </w:tc>
      </w:tr>
      <w:tr w:rsidR="00B010F9" w:rsidRPr="003B3350" w14:paraId="778077E9" w14:textId="77777777" w:rsidTr="00C8116D">
        <w:trPr>
          <w:jc w:val="center"/>
        </w:trPr>
        <w:tc>
          <w:tcPr>
            <w:tcW w:w="2976" w:type="dxa"/>
            <w:vAlign w:val="center"/>
          </w:tcPr>
          <w:p w14:paraId="19E46ECD" w14:textId="6A5C4736" w:rsidR="00B010F9" w:rsidRPr="003B3350" w:rsidRDefault="0091297E" w:rsidP="008F122A">
            <w:pPr>
              <w:rPr>
                <w:rFonts w:ascii="Arial" w:hAnsi="Arial" w:cs="Arial"/>
                <w:sz w:val="20"/>
                <w:szCs w:val="20"/>
              </w:rPr>
            </w:pPr>
            <w:r w:rsidRPr="003B3350">
              <w:rPr>
                <w:rFonts w:ascii="Arial" w:hAnsi="Arial" w:cs="Arial"/>
                <w:sz w:val="20"/>
                <w:szCs w:val="20"/>
              </w:rPr>
              <w:t>Total size</w:t>
            </w:r>
          </w:p>
        </w:tc>
        <w:tc>
          <w:tcPr>
            <w:tcW w:w="1277" w:type="dxa"/>
            <w:vAlign w:val="center"/>
          </w:tcPr>
          <w:p w14:paraId="6B7B628C" w14:textId="6CD11DA7" w:rsidR="00B010F9" w:rsidRPr="003B3350" w:rsidRDefault="0091297E" w:rsidP="008F122A">
            <w:pPr>
              <w:jc w:val="right"/>
              <w:rPr>
                <w:rFonts w:ascii="Arial" w:hAnsi="Arial" w:cs="Arial"/>
                <w:sz w:val="20"/>
                <w:szCs w:val="20"/>
              </w:rPr>
            </w:pPr>
            <w:r w:rsidRPr="003B3350">
              <w:rPr>
                <w:rFonts w:ascii="Arial" w:hAnsi="Arial" w:cs="Arial"/>
                <w:sz w:val="20"/>
                <w:szCs w:val="20"/>
              </w:rPr>
              <w:t>104</w:t>
            </w:r>
          </w:p>
        </w:tc>
      </w:tr>
    </w:tbl>
    <w:p w14:paraId="59A31E68" w14:textId="77777777" w:rsidR="003B3350" w:rsidRDefault="003B3350" w:rsidP="003B3350">
      <w:pPr>
        <w:pStyle w:val="BodyText"/>
      </w:pPr>
    </w:p>
    <w:p w14:paraId="3360AF9C" w14:textId="38CD14C1" w:rsidR="00BE4176" w:rsidRPr="000867A9" w:rsidRDefault="00C13247" w:rsidP="003B3350">
      <w:pPr>
        <w:pStyle w:val="BodyText"/>
      </w:pPr>
      <w:r w:rsidRPr="003B3350">
        <w:t xml:space="preserve">As can be seen the RAR_B is </w:t>
      </w:r>
      <w:r w:rsidR="0094379E" w:rsidRPr="003B3350">
        <w:t xml:space="preserve">13 bytes. </w:t>
      </w:r>
      <w:r w:rsidR="00D240CC" w:rsidRPr="00A52464">
        <w:t xml:space="preserve">To this we add the RRC Setup message. </w:t>
      </w:r>
      <w:r w:rsidR="00D240CC" w:rsidRPr="009C3BCC">
        <w:t xml:space="preserve">This message can have very varying size depending the complexity of the configuration, but for the sake of </w:t>
      </w:r>
      <w:r w:rsidR="00D53FEE">
        <w:t xml:space="preserve">this </w:t>
      </w:r>
      <w:r w:rsidR="00D240CC" w:rsidRPr="009C3BCC">
        <w:t xml:space="preserve">discussion we assume </w:t>
      </w:r>
      <w:r w:rsidR="00CF153F">
        <w:t>100</w:t>
      </w:r>
      <w:r w:rsidR="00D240CC" w:rsidRPr="009C3BCC">
        <w:t xml:space="preserve"> bytes. </w:t>
      </w:r>
      <w:r w:rsidR="00CB7746" w:rsidRPr="00A52464">
        <w:t>We need one L-field</w:t>
      </w:r>
      <w:r w:rsidR="0043244F" w:rsidRPr="00A52464">
        <w:t xml:space="preserve"> and the RAR_B subheader also</w:t>
      </w:r>
      <w:r w:rsidR="001D2371" w:rsidRPr="00A52464">
        <w:t>, in total (13+</w:t>
      </w:r>
      <w:r w:rsidR="00CF153F">
        <w:t>100</w:t>
      </w:r>
      <w:r w:rsidR="001D2371" w:rsidRPr="00A52464">
        <w:t xml:space="preserve">+1+1)*n = </w:t>
      </w:r>
      <w:r w:rsidR="00CF153F">
        <w:t>115</w:t>
      </w:r>
      <w:r w:rsidR="00925770" w:rsidRPr="00A52464">
        <w:t xml:space="preserve">*n where n is the number of </w:t>
      </w:r>
      <w:r w:rsidR="00CC4F4E" w:rsidRPr="00A52464">
        <w:t>UEs</w:t>
      </w:r>
      <w:r w:rsidR="00925770" w:rsidRPr="00A52464">
        <w:t xml:space="preserve">. </w:t>
      </w:r>
      <w:r w:rsidR="00925770" w:rsidRPr="000867A9">
        <w:t>I</w:t>
      </w:r>
      <w:r w:rsidR="003D45BE" w:rsidRPr="000867A9">
        <w:t xml:space="preserve">f we want </w:t>
      </w:r>
      <w:r w:rsidR="0043244F" w:rsidRPr="000867A9">
        <w:t xml:space="preserve">flexibility to include other </w:t>
      </w:r>
      <w:r w:rsidR="00925770" w:rsidRPr="000867A9">
        <w:t>components, e.g. MAC C</w:t>
      </w:r>
      <w:r w:rsidR="00174D58" w:rsidRPr="000867A9">
        <w:t>E</w:t>
      </w:r>
      <w:r w:rsidR="00925770" w:rsidRPr="000867A9">
        <w:t>s</w:t>
      </w:r>
      <w:r w:rsidR="00174D58" w:rsidRPr="000867A9">
        <w:t>,</w:t>
      </w:r>
      <w:r w:rsidR="00573A99">
        <w:t xml:space="preserve"> or ordinary DL user data (considering other use</w:t>
      </w:r>
      <w:r w:rsidR="00AB584B">
        <w:t xml:space="preserve"> </w:t>
      </w:r>
      <w:r w:rsidR="00573A99">
        <w:t>case</w:t>
      </w:r>
      <w:r w:rsidR="00AB584B">
        <w:t>s</w:t>
      </w:r>
      <w:r w:rsidR="00573A99">
        <w:t xml:space="preserve"> than connecting from IDLE)</w:t>
      </w:r>
      <w:r w:rsidR="00925770" w:rsidRPr="000867A9">
        <w:t xml:space="preserve"> we need </w:t>
      </w:r>
      <w:r w:rsidR="00FC39D2" w:rsidRPr="000867A9">
        <w:t>more bytes for LCIDs and subheaders.</w:t>
      </w:r>
    </w:p>
    <w:p w14:paraId="1BDF5113" w14:textId="1EE6E66B" w:rsidR="00A25BEA" w:rsidRDefault="00C824D5" w:rsidP="003B3350">
      <w:pPr>
        <w:pStyle w:val="BodyText"/>
      </w:pPr>
      <w:r w:rsidRPr="00A52464">
        <w:t>So why does the size of msgB matter? MsgB must be transmitted to cover all UEs in the cell</w:t>
      </w:r>
      <w:r w:rsidR="00F422D6" w:rsidRPr="00A52464">
        <w:t xml:space="preserve">, thus a smaller message is preferred </w:t>
      </w:r>
      <w:r w:rsidR="000C2304" w:rsidRPr="00A52464">
        <w:t xml:space="preserve">over a larger message. </w:t>
      </w:r>
      <w:r w:rsidR="00A91ED7">
        <w:t xml:space="preserve">This should be investigated in more detail, but we can do a rough calculation whether it is possible to send </w:t>
      </w:r>
      <w:r w:rsidR="00D4295F">
        <w:t xml:space="preserve">a large msgB to the cell edge. The ITU IMT-2020 requirements on spectral efficiency is 0.12 </w:t>
      </w:r>
      <w:r w:rsidR="00F43D18">
        <w:t>bit/s/Hz (5% user throughput on the downlink for eMBB)</w:t>
      </w:r>
      <w:r w:rsidR="0027049E">
        <w:t>. This number reflects good link adaptation. Assuming msg</w:t>
      </w:r>
      <w:r w:rsidR="007E51CA">
        <w:t>B has to cover cell edge UEs (the WID states that all cell sizes for Rel-15 shall be supported)</w:t>
      </w:r>
      <w:r w:rsidR="00740F1C">
        <w:t xml:space="preserve"> and further assuming a bandwidth of 10 MHz</w:t>
      </w:r>
      <w:r w:rsidR="00EA0E89">
        <w:t xml:space="preserve"> the UE at the cell edge can receive</w:t>
      </w:r>
      <w:r w:rsidR="00DE7F4D">
        <w:t xml:space="preserve"> (per subframe)</w:t>
      </w:r>
      <w:r w:rsidR="00EA0E89">
        <w:t xml:space="preserve"> 1</w:t>
      </w:r>
      <w:r w:rsidR="00954AAF">
        <w:t>0</w:t>
      </w:r>
      <w:r w:rsidR="00EA0E89">
        <w:t>*10^6</w:t>
      </w:r>
      <w:r w:rsidR="00DE7F4D">
        <w:t xml:space="preserve"> * 0.12 * 0.001 = 1200 bits or 150 bytes</w:t>
      </w:r>
      <w:r w:rsidR="00E02974">
        <w:t>, which is optimistic given our assumption for link adaption.</w:t>
      </w:r>
      <w:r w:rsidR="00DE7F4D">
        <w:t xml:space="preserve"> </w:t>
      </w:r>
      <w:r w:rsidR="00F14711">
        <w:t>With our estimate of the</w:t>
      </w:r>
      <w:r w:rsidR="004B755E">
        <w:t xml:space="preserve"> msgB size we can </w:t>
      </w:r>
      <w:r w:rsidR="00176EB1">
        <w:t xml:space="preserve">schedule at most 1 UE per subframe. </w:t>
      </w:r>
      <w:r w:rsidR="004F2969">
        <w:t>Hence there is no point support</w:t>
      </w:r>
      <w:r w:rsidR="009B75B7">
        <w:t>ing</w:t>
      </w:r>
      <w:r w:rsidR="004F2969">
        <w:t xml:space="preserve"> multiplexing in msgB</w:t>
      </w:r>
      <w:r w:rsidR="00F6705A">
        <w:t xml:space="preserve"> for this example</w:t>
      </w:r>
      <w:r w:rsidR="00D036C0">
        <w:t>.</w:t>
      </w:r>
    </w:p>
    <w:p w14:paraId="70E5F64D" w14:textId="258E599F" w:rsidR="00A25BEA" w:rsidRPr="00395DB5" w:rsidRDefault="00D036C0" w:rsidP="00C542D5">
      <w:pPr>
        <w:pStyle w:val="Observation"/>
      </w:pPr>
      <w:bookmarkStart w:id="1" w:name="_Toc7717706"/>
      <w:r>
        <w:t xml:space="preserve">The expected size of msgB </w:t>
      </w:r>
      <w:r w:rsidR="00E65330">
        <w:t xml:space="preserve">can </w:t>
      </w:r>
      <w:r>
        <w:t>make multiplexing of several UEs infeasible.</w:t>
      </w:r>
      <w:bookmarkEnd w:id="1"/>
    </w:p>
    <w:p w14:paraId="40B21066" w14:textId="08A8B1F0" w:rsidR="00C824D5" w:rsidRDefault="00EF1393" w:rsidP="003B3350">
      <w:pPr>
        <w:pStyle w:val="BodyText"/>
      </w:pPr>
      <w:r w:rsidRPr="00A52464">
        <w:t xml:space="preserve">One way to keep the size down is to design msgB to be transmitted to a single UE. </w:t>
      </w:r>
      <w:r w:rsidRPr="00811165">
        <w:t>This</w:t>
      </w:r>
      <w:r w:rsidR="00811165" w:rsidRPr="00811165">
        <w:t xml:space="preserve"> also allows for UE-specific link adaptation </w:t>
      </w:r>
      <w:r w:rsidR="00644866">
        <w:t>improving spectral efficiency further.</w:t>
      </w:r>
      <w:r w:rsidR="00F91D13">
        <w:t xml:space="preserve"> The network should have a </w:t>
      </w:r>
      <w:r w:rsidR="00E7198C">
        <w:t>rough estimate of at least path loss after receiving PRACH and PUSCH of msgA</w:t>
      </w:r>
      <w:r w:rsidR="00E070BA">
        <w:t xml:space="preserve"> so some basic link adaptation should be possible even in RRC_IDLE. </w:t>
      </w:r>
      <w:r w:rsidR="00BD1AF7">
        <w:t xml:space="preserve">If we make the same calculation for scheduled UEs then a value for the spectral efficiency should be closer to the requirement for mean throughput 3.3 bits/s/Hz. With the same values </w:t>
      </w:r>
      <w:r w:rsidR="00475119">
        <w:t xml:space="preserve">as </w:t>
      </w:r>
      <w:r w:rsidR="002E6C40">
        <w:t>above,</w:t>
      </w:r>
      <w:r w:rsidR="00475119">
        <w:t xml:space="preserve"> we can schedule 10*10^6 * 3.3 * 0.001 = 33,000 bits or </w:t>
      </w:r>
      <w:r w:rsidR="000E5FE3">
        <w:t>4125 bytes, or roughly 35 MsgB.</w:t>
      </w:r>
      <w:r w:rsidR="00644866" w:rsidDel="002E6C40">
        <w:t xml:space="preserve"> </w:t>
      </w:r>
      <w:r w:rsidDel="002E6C40">
        <w:t xml:space="preserve"> </w:t>
      </w:r>
      <w:r w:rsidR="00F6705A">
        <w:t>While this estimate is also optimistic given imperfect link adaptation, there should be clear gains over scheduling purely for the worst case.</w:t>
      </w:r>
    </w:p>
    <w:p w14:paraId="3500A9C0" w14:textId="65CC0CA4" w:rsidR="00662A9E" w:rsidRDefault="0086261A" w:rsidP="003B3350">
      <w:pPr>
        <w:pStyle w:val="BodyText"/>
      </w:pPr>
      <w:r>
        <w:t xml:space="preserve">An argument </w:t>
      </w:r>
      <w:r w:rsidR="00BD405C">
        <w:t xml:space="preserve">for </w:t>
      </w:r>
      <w:r w:rsidR="00AA2684">
        <w:t>supporting multiplexing</w:t>
      </w:r>
      <w:r>
        <w:t xml:space="preserve"> could be that </w:t>
      </w:r>
      <w:r w:rsidR="000E795B">
        <w:t>the design should support multiplexing of several UEs and leave it for the network when to use it. After all, if we have a format which supports multiplexing of</w:t>
      </w:r>
      <w:r w:rsidR="004D0B3C">
        <w:t xml:space="preserve"> several UEs, then it is possible to include msgB only for one UE (if only one UE is doing RA for example). This is true, but if</w:t>
      </w:r>
      <w:r w:rsidR="00D22C78">
        <w:t xml:space="preserve"> the network wants to send </w:t>
      </w:r>
      <w:r w:rsidR="00466286">
        <w:t>two</w:t>
      </w:r>
      <w:r w:rsidR="00D22C78">
        <w:t xml:space="preserve"> msgBs but cannot perform </w:t>
      </w:r>
      <w:r w:rsidR="000740BC">
        <w:t xml:space="preserve">multiplexing due to the restrictions </w:t>
      </w:r>
      <w:r w:rsidR="00466286">
        <w:t xml:space="preserve">explained above it would need to transmit two </w:t>
      </w:r>
      <w:r w:rsidR="00E61C9E">
        <w:t>PDCCHs with the same RNTI</w:t>
      </w:r>
      <w:r w:rsidR="000737FD">
        <w:t xml:space="preserve"> and then two msgB</w:t>
      </w:r>
      <w:r w:rsidR="00AA2684">
        <w:t>s</w:t>
      </w:r>
      <w:r w:rsidR="000737FD">
        <w:t xml:space="preserve">. This means the two UEs would attempt to receive </w:t>
      </w:r>
      <w:r w:rsidR="003F4C17">
        <w:t>two msgB</w:t>
      </w:r>
      <w:r w:rsidR="00A43569">
        <w:t>s</w:t>
      </w:r>
      <w:r w:rsidR="003F4C17">
        <w:t xml:space="preserve"> (one being fo</w:t>
      </w:r>
      <w:r w:rsidR="0088445F">
        <w:t>r</w:t>
      </w:r>
      <w:r w:rsidR="003F4C17">
        <w:t xml:space="preserve"> itself and one is for the other UE)</w:t>
      </w:r>
      <w:r w:rsidR="00662A9E">
        <w:t xml:space="preserve"> during the msgB-window. </w:t>
      </w:r>
      <w:r w:rsidR="000D2985">
        <w:t>This would consume one PDCCH occasion per UE during the msgB window.</w:t>
      </w:r>
      <w:r w:rsidR="004A150B">
        <w:t xml:space="preserve"> To allow for scheduling </w:t>
      </w:r>
      <w:r w:rsidR="00E939EE">
        <w:t xml:space="preserve">of two msgB in using one PDCCH </w:t>
      </w:r>
      <w:r w:rsidR="00C542D5">
        <w:t>occasion</w:t>
      </w:r>
      <w:r w:rsidR="00E939EE">
        <w:t xml:space="preserve"> (but two PDCCH transmissions) a UE-specific RNTI would be required. </w:t>
      </w:r>
      <w:r w:rsidR="00D21247">
        <w:t xml:space="preserve">This is described in </w:t>
      </w:r>
      <w:r w:rsidR="005C2AD3">
        <w:t>[1]</w:t>
      </w:r>
      <w:r w:rsidR="00D21247">
        <w:t>.</w:t>
      </w:r>
      <w:r w:rsidR="007B59C4">
        <w:t xml:space="preserve"> A msgB design which does not support </w:t>
      </w:r>
      <w:r w:rsidR="001C3D63">
        <w:t>multiplexing is both feasible and efficient.</w:t>
      </w:r>
    </w:p>
    <w:p w14:paraId="50FD4FB1" w14:textId="0ED398A7" w:rsidR="001C3D63" w:rsidRDefault="001C3D63" w:rsidP="001C3D63">
      <w:pPr>
        <w:pStyle w:val="Observation"/>
      </w:pPr>
      <w:bookmarkStart w:id="2" w:name="_Toc7717707"/>
      <w:r>
        <w:t>A msgB design which does not support multiplexing is both feasible and efficient.</w:t>
      </w:r>
      <w:bookmarkEnd w:id="2"/>
    </w:p>
    <w:p w14:paraId="6CB6D4F9" w14:textId="351A6439" w:rsidR="00126008" w:rsidRDefault="000867A9" w:rsidP="00573A99">
      <w:pPr>
        <w:pStyle w:val="BodyText"/>
      </w:pPr>
      <w:r>
        <w:t xml:space="preserve">An alternative solution </w:t>
      </w:r>
      <w:r w:rsidR="00DD6508">
        <w:t xml:space="preserve">proposed by some companies </w:t>
      </w:r>
      <w:r>
        <w:t xml:space="preserve">would be to only </w:t>
      </w:r>
      <w:r w:rsidR="00DD6508">
        <w:t>send RAR_B in msgB</w:t>
      </w:r>
      <w:r w:rsidR="001C00B0">
        <w:t xml:space="preserve"> and the RRC Setup later</w:t>
      </w:r>
      <w:r w:rsidR="00DD6508">
        <w:t xml:space="preserve">. We </w:t>
      </w:r>
      <w:r w:rsidR="00BA4CEA">
        <w:t>find</w:t>
      </w:r>
      <w:r w:rsidR="00DD6508">
        <w:t xml:space="preserve"> that design </w:t>
      </w:r>
      <w:r w:rsidR="00BA4CEA">
        <w:t>unacceptable</w:t>
      </w:r>
      <w:r w:rsidR="001C00B0">
        <w:t xml:space="preserve"> as it violates the principle of 2-step RA </w:t>
      </w:r>
      <w:r w:rsidR="00455CAE">
        <w:t xml:space="preserve">if the RRC Setup must be transmitted in a </w:t>
      </w:r>
      <w:r w:rsidR="001C00B0">
        <w:t xml:space="preserve">third message. </w:t>
      </w:r>
    </w:p>
    <w:p w14:paraId="77D2A912" w14:textId="6D946D82" w:rsidR="001330C7" w:rsidRDefault="001330C7" w:rsidP="001330C7">
      <w:pPr>
        <w:pStyle w:val="Observation"/>
      </w:pPr>
      <w:bookmarkStart w:id="3" w:name="_Toc7717708"/>
      <w:r>
        <w:t xml:space="preserve">MsgB must be designed such that it can complete the </w:t>
      </w:r>
      <w:r w:rsidR="00573A99">
        <w:t xml:space="preserve">2-step </w:t>
      </w:r>
      <w:r>
        <w:t>RA procedure.</w:t>
      </w:r>
      <w:bookmarkEnd w:id="3"/>
    </w:p>
    <w:p w14:paraId="73CFFC7E" w14:textId="5A6F682E" w:rsidR="007A05FE" w:rsidRDefault="007A05FE" w:rsidP="0073123D">
      <w:pPr>
        <w:pStyle w:val="BodyText"/>
      </w:pPr>
      <w:r w:rsidRPr="007A05FE">
        <w:t>Several companies argue in the e-mail discussion for multiplexing to keep PDCCH overhead down. While it is correct that sending one msgB to each UE costs more PDCCH resources than sending one msgB to</w:t>
      </w:r>
      <w:r w:rsidR="00F81657">
        <w:t>o</w:t>
      </w:r>
      <w:r w:rsidRPr="007A05FE">
        <w:t xml:space="preserve"> many, we think the potential gain in spectral efficiency speaks against a multiplexed msgB. It should also be noted that it might be difficult to update random access procedures later on</w:t>
      </w:r>
      <w:r w:rsidR="00F81657">
        <w:t>,</w:t>
      </w:r>
      <w:r w:rsidRPr="007A05FE">
        <w:t xml:space="preserve"> which is why it is important to investigate this properly.</w:t>
      </w:r>
    </w:p>
    <w:p w14:paraId="13D8ED38" w14:textId="68287FD7" w:rsidR="000867A9" w:rsidRDefault="008037F0" w:rsidP="0073123D">
      <w:pPr>
        <w:pStyle w:val="BodyText"/>
      </w:pPr>
      <w:r>
        <w:t xml:space="preserve">There are many open issues which impact the size of msgB. Reading the replies </w:t>
      </w:r>
      <w:r w:rsidR="004856B3">
        <w:t xml:space="preserve">from </w:t>
      </w:r>
      <w:r>
        <w:t xml:space="preserve">companies which agree to multiplexing </w:t>
      </w:r>
      <w:r w:rsidR="00EF1580">
        <w:t>they</w:t>
      </w:r>
      <w:r>
        <w:t xml:space="preserve"> have very different views on when to apply it (e.g. only in IDLE</w:t>
      </w:r>
      <w:r w:rsidR="00B47BF2">
        <w:t>, if it contains fall back</w:t>
      </w:r>
      <w:r w:rsidR="00957635">
        <w:t xml:space="preserve"> etc</w:t>
      </w:r>
      <w:r w:rsidR="006301AE">
        <w:t>). Based on this we think it is too premature to make this agreement now</w:t>
      </w:r>
      <w:r w:rsidR="00E532B6">
        <w:t xml:space="preserve">. More study is needed to understand the consequences of multiplexing. </w:t>
      </w:r>
    </w:p>
    <w:p w14:paraId="3F4019B1" w14:textId="00ADBB76" w:rsidR="00B561DF" w:rsidRDefault="00B561DF" w:rsidP="00B561DF">
      <w:pPr>
        <w:pStyle w:val="Proposal"/>
      </w:pPr>
      <w:bookmarkStart w:id="4" w:name="_Toc7694497"/>
      <w:r>
        <w:t>RAN2 to continue study whether msgB can be transmitted to single or multiple UEs.</w:t>
      </w:r>
      <w:bookmarkEnd w:id="4"/>
    </w:p>
    <w:p w14:paraId="58F63AF3" w14:textId="5D31E234" w:rsidR="00771599" w:rsidRDefault="004F5B27" w:rsidP="004F5B27">
      <w:pPr>
        <w:pStyle w:val="Heading2"/>
      </w:pPr>
      <w:r>
        <w:t>2.2</w:t>
      </w:r>
      <w:r>
        <w:tab/>
        <w:t>Support for fallback</w:t>
      </w:r>
      <w:r w:rsidR="00F609B9">
        <w:t xml:space="preserve"> and back-off</w:t>
      </w:r>
    </w:p>
    <w:p w14:paraId="0975C413" w14:textId="5BA687B1" w:rsidR="00F64C77" w:rsidRDefault="00F1573F" w:rsidP="00F64C77">
      <w:pPr>
        <w:pStyle w:val="BodyText"/>
      </w:pPr>
      <w:r w:rsidRPr="00041760">
        <w:t xml:space="preserve">For completeness we briefly describe </w:t>
      </w:r>
      <w:r w:rsidR="00041760">
        <w:t>how to support fallback and back-off</w:t>
      </w:r>
      <w:r w:rsidR="005E0B99" w:rsidRPr="00041760">
        <w:t xml:space="preserve"> [</w:t>
      </w:r>
      <w:r w:rsidR="004F0A6B">
        <w:t xml:space="preserve">2, </w:t>
      </w:r>
      <w:r w:rsidR="0080704E">
        <w:t>3</w:t>
      </w:r>
      <w:r w:rsidRPr="00041760">
        <w:t>]</w:t>
      </w:r>
      <w:r w:rsidR="0019789A" w:rsidRPr="00041760">
        <w:t xml:space="preserve">. </w:t>
      </w:r>
      <w:r w:rsidR="0019789A" w:rsidRPr="00A52464">
        <w:t>In short</w:t>
      </w:r>
      <w:r w:rsidR="00F609B9" w:rsidRPr="00A52464">
        <w:t xml:space="preserve">, msg2 is used to indicate fallback and back-off. </w:t>
      </w:r>
      <w:r w:rsidR="0030051A" w:rsidRPr="00041760">
        <w:t xml:space="preserve">If the UE receives a msg2 with its RAPID it implies fallback to </w:t>
      </w:r>
      <w:r w:rsidR="008C14AC" w:rsidRPr="00041760">
        <w:t>4-step RA</w:t>
      </w:r>
      <w:r w:rsidR="00041760" w:rsidRPr="00041760">
        <w:t xml:space="preserve"> </w:t>
      </w:r>
      <w:r w:rsidR="00041760">
        <w:t>and the UE replies with msg3</w:t>
      </w:r>
      <w:r w:rsidR="008C14AC" w:rsidRPr="00041760">
        <w:t xml:space="preserve">. </w:t>
      </w:r>
      <w:r w:rsidR="008C14AC" w:rsidRPr="007A333E">
        <w:t>The R-bits of the E/T/R/R/BI MAC subheader can be used to indicate back</w:t>
      </w:r>
      <w:r w:rsidR="007A333E" w:rsidRPr="007A333E">
        <w:t>-</w:t>
      </w:r>
      <w:r w:rsidR="007A333E">
        <w:t>off for UEs performing 2-step RA</w:t>
      </w:r>
      <w:r w:rsidR="00F66F9F">
        <w:t xml:space="preserve">. </w:t>
      </w:r>
      <w:r w:rsidR="007938F5">
        <w:t xml:space="preserve">Once the BO timer expires, the UE retransmits </w:t>
      </w:r>
      <w:r w:rsidR="00D84C0E">
        <w:t>msgA (i.e. does not fall back).</w:t>
      </w:r>
      <w:r w:rsidR="00F64C77">
        <w:t xml:space="preserve"> This implies the UE has to monitor for both msg2 and msgB after transmitting msgA. </w:t>
      </w:r>
    </w:p>
    <w:p w14:paraId="5FCE2E51" w14:textId="69A8BD5F" w:rsidR="00C01F33" w:rsidRPr="00CE0424" w:rsidRDefault="00EC4447" w:rsidP="00F64C77">
      <w:pPr>
        <w:pStyle w:val="Heading1"/>
      </w:pPr>
      <w:r>
        <w:t>4</w:t>
      </w:r>
      <w:r>
        <w:tab/>
      </w:r>
      <w:bookmarkStart w:id="5" w:name="_GoBack"/>
      <w:r w:rsidR="00C01F33" w:rsidRPr="00CE0424">
        <w:t>Conclusion</w:t>
      </w:r>
      <w:bookmarkEnd w:id="5"/>
    </w:p>
    <w:p w14:paraId="03D3D450" w14:textId="77777777" w:rsidR="008E065E" w:rsidRPr="00A52464" w:rsidRDefault="008E065E" w:rsidP="008E065E">
      <w:pPr>
        <w:pStyle w:val="BodyText"/>
        <w:rPr>
          <w:b/>
        </w:rPr>
      </w:pPr>
      <w:r w:rsidRPr="00A52464">
        <w:t xml:space="preserve">In </w:t>
      </w:r>
      <w:r w:rsidR="007729A2" w:rsidRPr="00A52464">
        <w:t xml:space="preserve">the previous </w:t>
      </w:r>
      <w:r w:rsidRPr="00A52464">
        <w:t>section</w:t>
      </w:r>
      <w:r w:rsidR="007729A2" w:rsidRPr="00A52464">
        <w:t>s</w:t>
      </w:r>
      <w:r w:rsidRPr="00A52464">
        <w:t xml:space="preserve"> we made the following observations:</w:t>
      </w:r>
      <w:r w:rsidR="00C93814" w:rsidRPr="00A52464">
        <w:rPr>
          <w:b/>
        </w:rPr>
        <w:t xml:space="preserve"> </w:t>
      </w:r>
    </w:p>
    <w:p w14:paraId="0906EE6F" w14:textId="05C99684" w:rsidR="00E65330" w:rsidRDefault="006F6582">
      <w:pPr>
        <w:pStyle w:val="TableofFigures"/>
        <w:tabs>
          <w:tab w:val="right" w:leader="dot" w:pos="9629"/>
        </w:tabs>
        <w:rPr>
          <w:rFonts w:asciiTheme="minorHAnsi" w:eastAsiaTheme="minorEastAsia" w:hAnsiTheme="minorHAnsi"/>
          <w:b w:val="0"/>
          <w:noProof/>
          <w:sz w:val="24"/>
          <w:szCs w:val="24"/>
          <w:lang w:val="sv-SE" w:eastAsia="ja-JP"/>
        </w:rPr>
      </w:pPr>
      <w:r>
        <w:rPr>
          <w:b w:val="0"/>
          <w:bCs/>
        </w:rPr>
        <w:fldChar w:fldCharType="begin"/>
      </w:r>
      <w:r>
        <w:rPr>
          <w:b w:val="0"/>
          <w:bCs/>
        </w:rPr>
        <w:instrText xml:space="preserve"> TOC \f O \n \h \z \t "Observation" \c </w:instrText>
      </w:r>
      <w:r>
        <w:rPr>
          <w:b w:val="0"/>
          <w:bCs/>
        </w:rPr>
        <w:fldChar w:fldCharType="separate"/>
      </w:r>
      <w:hyperlink w:anchor="_Toc7717706" w:history="1">
        <w:r w:rsidR="00E65330" w:rsidRPr="0014486B">
          <w:rPr>
            <w:rStyle w:val="Hyperlink"/>
            <w:noProof/>
          </w:rPr>
          <w:t>Observation 1</w:t>
        </w:r>
        <w:r w:rsidR="00E65330">
          <w:rPr>
            <w:rFonts w:asciiTheme="minorHAnsi" w:eastAsiaTheme="minorEastAsia" w:hAnsiTheme="minorHAnsi"/>
            <w:b w:val="0"/>
            <w:noProof/>
            <w:sz w:val="24"/>
            <w:szCs w:val="24"/>
            <w:lang w:val="sv-SE" w:eastAsia="ja-JP"/>
          </w:rPr>
          <w:tab/>
        </w:r>
        <w:r w:rsidR="00E65330" w:rsidRPr="0014486B">
          <w:rPr>
            <w:rStyle w:val="Hyperlink"/>
            <w:noProof/>
          </w:rPr>
          <w:t>The expected size of msgB can make multiplexing of several UEs infeasible.</w:t>
        </w:r>
      </w:hyperlink>
    </w:p>
    <w:p w14:paraId="69F5CEB8" w14:textId="117E5F25" w:rsidR="00E65330" w:rsidRDefault="00E65330">
      <w:pPr>
        <w:pStyle w:val="TableofFigures"/>
        <w:tabs>
          <w:tab w:val="right" w:leader="dot" w:pos="9629"/>
        </w:tabs>
        <w:rPr>
          <w:rFonts w:asciiTheme="minorHAnsi" w:eastAsiaTheme="minorEastAsia" w:hAnsiTheme="minorHAnsi"/>
          <w:b w:val="0"/>
          <w:noProof/>
          <w:sz w:val="24"/>
          <w:szCs w:val="24"/>
          <w:lang w:val="sv-SE" w:eastAsia="ja-JP"/>
        </w:rPr>
      </w:pPr>
      <w:hyperlink w:anchor="_Toc7717707" w:history="1">
        <w:r w:rsidRPr="0014486B">
          <w:rPr>
            <w:rStyle w:val="Hyperlink"/>
            <w:noProof/>
          </w:rPr>
          <w:t>Observation 2</w:t>
        </w:r>
        <w:r>
          <w:rPr>
            <w:rFonts w:asciiTheme="minorHAnsi" w:eastAsiaTheme="minorEastAsia" w:hAnsiTheme="minorHAnsi"/>
            <w:b w:val="0"/>
            <w:noProof/>
            <w:sz w:val="24"/>
            <w:szCs w:val="24"/>
            <w:lang w:val="sv-SE" w:eastAsia="ja-JP"/>
          </w:rPr>
          <w:tab/>
        </w:r>
        <w:r w:rsidRPr="0014486B">
          <w:rPr>
            <w:rStyle w:val="Hyperlink"/>
            <w:noProof/>
          </w:rPr>
          <w:t>A msgB design which does not support multiplexing is both feasible and efficient.</w:t>
        </w:r>
      </w:hyperlink>
    </w:p>
    <w:p w14:paraId="1608641B" w14:textId="0FE1803A" w:rsidR="00E65330" w:rsidRDefault="00E65330">
      <w:pPr>
        <w:pStyle w:val="TableofFigures"/>
        <w:tabs>
          <w:tab w:val="right" w:leader="dot" w:pos="9629"/>
        </w:tabs>
        <w:rPr>
          <w:rFonts w:asciiTheme="minorHAnsi" w:eastAsiaTheme="minorEastAsia" w:hAnsiTheme="minorHAnsi"/>
          <w:b w:val="0"/>
          <w:noProof/>
          <w:sz w:val="24"/>
          <w:szCs w:val="24"/>
          <w:lang w:val="sv-SE" w:eastAsia="ja-JP"/>
        </w:rPr>
      </w:pPr>
      <w:hyperlink w:anchor="_Toc7717708" w:history="1">
        <w:r w:rsidRPr="0014486B">
          <w:rPr>
            <w:rStyle w:val="Hyperlink"/>
            <w:noProof/>
          </w:rPr>
          <w:t>Observation 3</w:t>
        </w:r>
        <w:r>
          <w:rPr>
            <w:rFonts w:asciiTheme="minorHAnsi" w:eastAsiaTheme="minorEastAsia" w:hAnsiTheme="minorHAnsi"/>
            <w:b w:val="0"/>
            <w:noProof/>
            <w:sz w:val="24"/>
            <w:szCs w:val="24"/>
            <w:lang w:val="sv-SE" w:eastAsia="ja-JP"/>
          </w:rPr>
          <w:tab/>
        </w:r>
        <w:r w:rsidRPr="0014486B">
          <w:rPr>
            <w:rStyle w:val="Hyperlink"/>
            <w:noProof/>
          </w:rPr>
          <w:t>MsgB must be designed such that it can complete the 2-step RA procedure.</w:t>
        </w:r>
      </w:hyperlink>
    </w:p>
    <w:p w14:paraId="2D6DEB0C" w14:textId="645A05E8" w:rsidR="006E1C82" w:rsidRDefault="006F6582" w:rsidP="008E065E">
      <w:pPr>
        <w:pStyle w:val="BodyText"/>
        <w:rPr>
          <w:b/>
          <w:bCs/>
        </w:rPr>
      </w:pPr>
      <w:r>
        <w:rPr>
          <w:b/>
          <w:bCs/>
        </w:rPr>
        <w:fldChar w:fldCharType="end"/>
      </w:r>
    </w:p>
    <w:p w14:paraId="42E2C6AF" w14:textId="77777777" w:rsidR="006E1C82" w:rsidRPr="00D84C0E" w:rsidRDefault="008E065E" w:rsidP="006E1C82">
      <w:pPr>
        <w:pStyle w:val="BodyText"/>
      </w:pPr>
      <w:r w:rsidRPr="00D84C0E">
        <w:t xml:space="preserve">Based on the discussion in </w:t>
      </w:r>
      <w:r w:rsidR="007729A2" w:rsidRPr="00D84C0E">
        <w:t xml:space="preserve">the previous </w:t>
      </w:r>
      <w:r w:rsidRPr="00D84C0E">
        <w:t>section</w:t>
      </w:r>
      <w:r w:rsidR="007729A2" w:rsidRPr="00D84C0E">
        <w:t>s</w:t>
      </w:r>
      <w:r w:rsidRPr="00D84C0E">
        <w:t xml:space="preserve"> we propose the following:</w:t>
      </w:r>
    </w:p>
    <w:p w14:paraId="7DB21F9A" w14:textId="25A3B5F7" w:rsidR="00E86668" w:rsidRDefault="006E1C82">
      <w:pPr>
        <w:pStyle w:val="TableofFigures"/>
        <w:tabs>
          <w:tab w:val="right" w:leader="dot" w:pos="9629"/>
        </w:tabs>
        <w:rPr>
          <w:rFonts w:asciiTheme="minorHAnsi" w:eastAsiaTheme="minorEastAsia" w:hAnsiTheme="minorHAnsi"/>
          <w:b w:val="0"/>
          <w:sz w:val="22"/>
          <w:lang w:eastAsia="sv-SE"/>
        </w:rPr>
      </w:pPr>
      <w:r>
        <w:rPr>
          <w:b w:val="0"/>
        </w:rPr>
        <w:fldChar w:fldCharType="begin"/>
      </w:r>
      <w:r>
        <w:rPr>
          <w:b w:val="0"/>
        </w:rPr>
        <w:instrText xml:space="preserve"> TOC \n \h \z \t "Proposal" \c </w:instrText>
      </w:r>
      <w:r>
        <w:rPr>
          <w:b w:val="0"/>
        </w:rPr>
        <w:fldChar w:fldCharType="separate"/>
      </w:r>
      <w:hyperlink w:anchor="_Toc7694497" w:history="1">
        <w:r w:rsidR="00E86668" w:rsidRPr="00B425CB">
          <w:rPr>
            <w:rStyle w:val="Hyperlink"/>
          </w:rPr>
          <w:t>Proposal 1</w:t>
        </w:r>
        <w:r w:rsidR="00E86668">
          <w:rPr>
            <w:rFonts w:asciiTheme="minorHAnsi" w:eastAsiaTheme="minorEastAsia" w:hAnsiTheme="minorHAnsi"/>
            <w:b w:val="0"/>
            <w:sz w:val="22"/>
            <w:lang w:eastAsia="sv-SE"/>
          </w:rPr>
          <w:tab/>
        </w:r>
        <w:r w:rsidR="00E86668" w:rsidRPr="00B425CB">
          <w:rPr>
            <w:rStyle w:val="Hyperlink"/>
          </w:rPr>
          <w:t>RAN2 to continue study whether msgB can be transmitted to single or multiple UEs.</w:t>
        </w:r>
      </w:hyperlink>
    </w:p>
    <w:p w14:paraId="6CD82E25" w14:textId="336C1E1C" w:rsidR="006E1C82" w:rsidRPr="00CE0424" w:rsidRDefault="006E1C82" w:rsidP="006E1C82">
      <w:pPr>
        <w:pStyle w:val="BodyText"/>
        <w:rPr>
          <w:b/>
          <w:bCs/>
        </w:rPr>
      </w:pPr>
      <w:r>
        <w:rPr>
          <w:b/>
        </w:rPr>
        <w:fldChar w:fldCharType="end"/>
      </w:r>
      <w:r w:rsidRPr="00CE0424">
        <w:rPr>
          <w:b/>
          <w:bCs/>
        </w:rPr>
        <w:t xml:space="preserve"> </w:t>
      </w:r>
    </w:p>
    <w:p w14:paraId="68BA89B1" w14:textId="46EAAA3F" w:rsidR="00F507D1" w:rsidRPr="00CE0424" w:rsidRDefault="00EC4447" w:rsidP="00CE0424">
      <w:pPr>
        <w:pStyle w:val="Heading1"/>
      </w:pPr>
      <w:bookmarkStart w:id="6" w:name="_In-sequence_SDU_delivery"/>
      <w:bookmarkEnd w:id="6"/>
      <w:r>
        <w:t>5</w:t>
      </w:r>
      <w:r>
        <w:tab/>
      </w:r>
      <w:r w:rsidR="00F507D1" w:rsidRPr="00CE0424">
        <w:t>References</w:t>
      </w:r>
    </w:p>
    <w:p w14:paraId="499939DD" w14:textId="705840D4" w:rsidR="00E2269F" w:rsidRPr="00972880" w:rsidRDefault="00E2269F" w:rsidP="00311702">
      <w:pPr>
        <w:pStyle w:val="Reference"/>
      </w:pPr>
      <w:bookmarkStart w:id="7" w:name="_Ref174151459"/>
      <w:bookmarkStart w:id="8" w:name="_Ref189809556"/>
      <w:r w:rsidRPr="00972880">
        <w:t>R2-19</w:t>
      </w:r>
      <w:r w:rsidR="00972880" w:rsidRPr="00972880">
        <w:t>06953</w:t>
      </w:r>
      <w:r w:rsidRPr="00972880">
        <w:t xml:space="preserve">, “RNTIs and Contention Resolution for 2-step RA”, Ericsson, </w:t>
      </w:r>
      <w:r w:rsidR="00B75184" w:rsidRPr="00972880">
        <w:t xml:space="preserve">RAN2#106, </w:t>
      </w:r>
      <w:r w:rsidR="00E37622" w:rsidRPr="00972880">
        <w:t>Reno, US, 13 – 17 May 2019</w:t>
      </w:r>
    </w:p>
    <w:p w14:paraId="4D37B974" w14:textId="14A6D881" w:rsidR="004F0A6B" w:rsidRPr="00972880" w:rsidRDefault="004F0A6B" w:rsidP="004F0A6B">
      <w:pPr>
        <w:pStyle w:val="Reference"/>
      </w:pPr>
      <w:r w:rsidRPr="00972880">
        <w:t>R2-19</w:t>
      </w:r>
      <w:r w:rsidR="003C0CD9">
        <w:t>06954</w:t>
      </w:r>
      <w:r w:rsidRPr="00972880">
        <w:t>, “</w:t>
      </w:r>
      <w:r w:rsidR="008B62A9" w:rsidRPr="00972880">
        <w:t>Fallback for 2-step RA</w:t>
      </w:r>
      <w:r w:rsidRPr="00972880">
        <w:t>”, Ericsson, RAN2#106, Reno, US, 13 – 17 May 2019</w:t>
      </w:r>
    </w:p>
    <w:p w14:paraId="50079524" w14:textId="2CA26C65" w:rsidR="004F0A6B" w:rsidRDefault="004F0A6B" w:rsidP="004F0A6B">
      <w:pPr>
        <w:pStyle w:val="Reference"/>
      </w:pPr>
      <w:r w:rsidRPr="00972880">
        <w:t>R2-19</w:t>
      </w:r>
      <w:r w:rsidR="00C92408">
        <w:t>06955</w:t>
      </w:r>
      <w:r w:rsidRPr="00972880">
        <w:t>, “</w:t>
      </w:r>
      <w:r w:rsidR="0080704E" w:rsidRPr="00972880">
        <w:t>Back-off</w:t>
      </w:r>
      <w:r w:rsidR="0080704E" w:rsidRPr="0080704E">
        <w:t xml:space="preserve"> for 2-step RA procedure</w:t>
      </w:r>
      <w:r w:rsidR="0080704E">
        <w:t>”</w:t>
      </w:r>
      <w:r>
        <w:t xml:space="preserve">, Ericsson, RAN2#106, </w:t>
      </w:r>
      <w:r w:rsidRPr="00E37622">
        <w:t>Reno, US, 13 – 17 May 2019</w:t>
      </w:r>
    </w:p>
    <w:bookmarkEnd w:id="7"/>
    <w:bookmarkEnd w:id="8"/>
    <w:p w14:paraId="614248DC" w14:textId="77777777" w:rsidR="003A7EF3" w:rsidRPr="00A52464" w:rsidRDefault="003A7EF3" w:rsidP="00CE0424">
      <w:pPr>
        <w:pStyle w:val="BodyText"/>
      </w:pPr>
    </w:p>
    <w:sectPr w:rsidR="003A7EF3" w:rsidRPr="00A52464" w:rsidSect="00D84C0E">
      <w:headerReference w:type="even" r:id="rId15"/>
      <w:footerReference w:type="default" r:id="rId16"/>
      <w:footnotePr>
        <w:numRestart w:val="eachSect"/>
      </w:footnotePr>
      <w:type w:val="continuous"/>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E015F" w14:textId="77777777" w:rsidR="00013A3F" w:rsidRDefault="00013A3F">
      <w:r>
        <w:separator/>
      </w:r>
    </w:p>
  </w:endnote>
  <w:endnote w:type="continuationSeparator" w:id="0">
    <w:p w14:paraId="49F845FE" w14:textId="77777777" w:rsidR="00013A3F" w:rsidRDefault="00013A3F">
      <w:r>
        <w:continuationSeparator/>
      </w:r>
    </w:p>
  </w:endnote>
  <w:endnote w:type="continuationNotice" w:id="1">
    <w:p w14:paraId="675EBFDB" w14:textId="77777777" w:rsidR="00013A3F" w:rsidRDefault="00013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B716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C00A2" w14:textId="77777777" w:rsidR="00013A3F" w:rsidRDefault="00013A3F">
      <w:r>
        <w:separator/>
      </w:r>
    </w:p>
  </w:footnote>
  <w:footnote w:type="continuationSeparator" w:id="0">
    <w:p w14:paraId="4276E222" w14:textId="77777777" w:rsidR="00013A3F" w:rsidRDefault="00013A3F">
      <w:r>
        <w:continuationSeparator/>
      </w:r>
    </w:p>
  </w:footnote>
  <w:footnote w:type="continuationNotice" w:id="1">
    <w:p w14:paraId="2CC204F5" w14:textId="77777777" w:rsidR="00013A3F" w:rsidRDefault="00013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4FEF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F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10A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CA419D"/>
    <w:multiLevelType w:val="hybridMultilevel"/>
    <w:tmpl w:val="C7023F6A"/>
    <w:lvl w:ilvl="0" w:tplc="51BE7AD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DFB"/>
    <w:rsid w:val="000006E1"/>
    <w:rsid w:val="00002A37"/>
    <w:rsid w:val="0000461A"/>
    <w:rsid w:val="0000564C"/>
    <w:rsid w:val="00006446"/>
    <w:rsid w:val="00006896"/>
    <w:rsid w:val="00006BE5"/>
    <w:rsid w:val="00007CDC"/>
    <w:rsid w:val="00011B28"/>
    <w:rsid w:val="000126E1"/>
    <w:rsid w:val="00013A3F"/>
    <w:rsid w:val="00015D15"/>
    <w:rsid w:val="00016151"/>
    <w:rsid w:val="00017347"/>
    <w:rsid w:val="0002564D"/>
    <w:rsid w:val="00025ECA"/>
    <w:rsid w:val="00027D38"/>
    <w:rsid w:val="000325B8"/>
    <w:rsid w:val="00034C15"/>
    <w:rsid w:val="00036BA1"/>
    <w:rsid w:val="00040374"/>
    <w:rsid w:val="00041760"/>
    <w:rsid w:val="000422E2"/>
    <w:rsid w:val="00042F22"/>
    <w:rsid w:val="00043BDF"/>
    <w:rsid w:val="000444EF"/>
    <w:rsid w:val="00052A07"/>
    <w:rsid w:val="000534E3"/>
    <w:rsid w:val="0005606A"/>
    <w:rsid w:val="00057117"/>
    <w:rsid w:val="000616E7"/>
    <w:rsid w:val="0006487E"/>
    <w:rsid w:val="00064C4B"/>
    <w:rsid w:val="00065E1A"/>
    <w:rsid w:val="0007282B"/>
    <w:rsid w:val="000737FD"/>
    <w:rsid w:val="000740BC"/>
    <w:rsid w:val="000757C5"/>
    <w:rsid w:val="00077E5F"/>
    <w:rsid w:val="0008036A"/>
    <w:rsid w:val="00081AE6"/>
    <w:rsid w:val="000842F7"/>
    <w:rsid w:val="000855EB"/>
    <w:rsid w:val="00085B52"/>
    <w:rsid w:val="000866F2"/>
    <w:rsid w:val="000867A9"/>
    <w:rsid w:val="0009009F"/>
    <w:rsid w:val="00091557"/>
    <w:rsid w:val="000924C1"/>
    <w:rsid w:val="000924F0"/>
    <w:rsid w:val="00093474"/>
    <w:rsid w:val="0009510F"/>
    <w:rsid w:val="000A170C"/>
    <w:rsid w:val="000A1B06"/>
    <w:rsid w:val="000A1B7B"/>
    <w:rsid w:val="000A4E24"/>
    <w:rsid w:val="000A56F2"/>
    <w:rsid w:val="000B2719"/>
    <w:rsid w:val="000B3A8F"/>
    <w:rsid w:val="000B4AB9"/>
    <w:rsid w:val="000B58C3"/>
    <w:rsid w:val="000B61E9"/>
    <w:rsid w:val="000C165A"/>
    <w:rsid w:val="000C1E42"/>
    <w:rsid w:val="000C2304"/>
    <w:rsid w:val="000C2622"/>
    <w:rsid w:val="000C2E19"/>
    <w:rsid w:val="000C4F1D"/>
    <w:rsid w:val="000C73CC"/>
    <w:rsid w:val="000D0D07"/>
    <w:rsid w:val="000D2985"/>
    <w:rsid w:val="000D4797"/>
    <w:rsid w:val="000E0527"/>
    <w:rsid w:val="000E1E92"/>
    <w:rsid w:val="000E5FE3"/>
    <w:rsid w:val="000E795B"/>
    <w:rsid w:val="000F06D6"/>
    <w:rsid w:val="000F0EB1"/>
    <w:rsid w:val="000F1106"/>
    <w:rsid w:val="000F3BE9"/>
    <w:rsid w:val="000F3F6C"/>
    <w:rsid w:val="000F6DF3"/>
    <w:rsid w:val="001005FF"/>
    <w:rsid w:val="00100A9A"/>
    <w:rsid w:val="001017F7"/>
    <w:rsid w:val="001062FB"/>
    <w:rsid w:val="001063E6"/>
    <w:rsid w:val="0011066D"/>
    <w:rsid w:val="00113CF4"/>
    <w:rsid w:val="00113E0F"/>
    <w:rsid w:val="001153EA"/>
    <w:rsid w:val="00115643"/>
    <w:rsid w:val="00115EB1"/>
    <w:rsid w:val="00116765"/>
    <w:rsid w:val="001219F5"/>
    <w:rsid w:val="00121A20"/>
    <w:rsid w:val="0012377F"/>
    <w:rsid w:val="001238E1"/>
    <w:rsid w:val="00123E75"/>
    <w:rsid w:val="00124314"/>
    <w:rsid w:val="00126008"/>
    <w:rsid w:val="00126758"/>
    <w:rsid w:val="00126B4A"/>
    <w:rsid w:val="0012732F"/>
    <w:rsid w:val="00132FD0"/>
    <w:rsid w:val="001330C7"/>
    <w:rsid w:val="001334C7"/>
    <w:rsid w:val="001339FC"/>
    <w:rsid w:val="001344C0"/>
    <w:rsid w:val="001346FA"/>
    <w:rsid w:val="00135252"/>
    <w:rsid w:val="001356FC"/>
    <w:rsid w:val="00137AB5"/>
    <w:rsid w:val="00137F0B"/>
    <w:rsid w:val="00146B3C"/>
    <w:rsid w:val="00150FF6"/>
    <w:rsid w:val="00151E23"/>
    <w:rsid w:val="001526E0"/>
    <w:rsid w:val="001551B5"/>
    <w:rsid w:val="001659C1"/>
    <w:rsid w:val="001731E9"/>
    <w:rsid w:val="00173A8E"/>
    <w:rsid w:val="00174D58"/>
    <w:rsid w:val="0017502C"/>
    <w:rsid w:val="00176EB1"/>
    <w:rsid w:val="0018143F"/>
    <w:rsid w:val="00181FF8"/>
    <w:rsid w:val="00185830"/>
    <w:rsid w:val="00186EDE"/>
    <w:rsid w:val="00190AC1"/>
    <w:rsid w:val="0019341A"/>
    <w:rsid w:val="001958E6"/>
    <w:rsid w:val="0019789A"/>
    <w:rsid w:val="00197DF9"/>
    <w:rsid w:val="001A1489"/>
    <w:rsid w:val="001A1987"/>
    <w:rsid w:val="001A1AEF"/>
    <w:rsid w:val="001A2564"/>
    <w:rsid w:val="001A4D14"/>
    <w:rsid w:val="001A6173"/>
    <w:rsid w:val="001A6CBA"/>
    <w:rsid w:val="001B0D97"/>
    <w:rsid w:val="001B3A6D"/>
    <w:rsid w:val="001B5A5D"/>
    <w:rsid w:val="001C00B0"/>
    <w:rsid w:val="001C1CE5"/>
    <w:rsid w:val="001C2E40"/>
    <w:rsid w:val="001C3D2A"/>
    <w:rsid w:val="001C3D63"/>
    <w:rsid w:val="001C4572"/>
    <w:rsid w:val="001C7F4F"/>
    <w:rsid w:val="001D2371"/>
    <w:rsid w:val="001D51BA"/>
    <w:rsid w:val="001D53E7"/>
    <w:rsid w:val="001D6342"/>
    <w:rsid w:val="001D6D53"/>
    <w:rsid w:val="001E0F47"/>
    <w:rsid w:val="001E58E2"/>
    <w:rsid w:val="001E7AED"/>
    <w:rsid w:val="001F15F3"/>
    <w:rsid w:val="001F3916"/>
    <w:rsid w:val="001F54C5"/>
    <w:rsid w:val="001F662C"/>
    <w:rsid w:val="001F7074"/>
    <w:rsid w:val="00200490"/>
    <w:rsid w:val="00201F3A"/>
    <w:rsid w:val="00203F96"/>
    <w:rsid w:val="0020448E"/>
    <w:rsid w:val="00204AE1"/>
    <w:rsid w:val="00204CE1"/>
    <w:rsid w:val="002069B2"/>
    <w:rsid w:val="00207FA3"/>
    <w:rsid w:val="00212025"/>
    <w:rsid w:val="00214DA8"/>
    <w:rsid w:val="00215423"/>
    <w:rsid w:val="002158FA"/>
    <w:rsid w:val="00220600"/>
    <w:rsid w:val="002224DB"/>
    <w:rsid w:val="00223179"/>
    <w:rsid w:val="00223FCB"/>
    <w:rsid w:val="002252C3"/>
    <w:rsid w:val="00225C54"/>
    <w:rsid w:val="00230765"/>
    <w:rsid w:val="00230D18"/>
    <w:rsid w:val="002319E4"/>
    <w:rsid w:val="00235632"/>
    <w:rsid w:val="0023568D"/>
    <w:rsid w:val="00235872"/>
    <w:rsid w:val="00241559"/>
    <w:rsid w:val="002418CF"/>
    <w:rsid w:val="002435B3"/>
    <w:rsid w:val="00243FE2"/>
    <w:rsid w:val="002458EB"/>
    <w:rsid w:val="00247FD3"/>
    <w:rsid w:val="002500C8"/>
    <w:rsid w:val="002572BE"/>
    <w:rsid w:val="00257543"/>
    <w:rsid w:val="0026167C"/>
    <w:rsid w:val="002617E7"/>
    <w:rsid w:val="002618FC"/>
    <w:rsid w:val="00264228"/>
    <w:rsid w:val="00264334"/>
    <w:rsid w:val="0026473E"/>
    <w:rsid w:val="00266214"/>
    <w:rsid w:val="00267C83"/>
    <w:rsid w:val="00270019"/>
    <w:rsid w:val="0027049E"/>
    <w:rsid w:val="0027144F"/>
    <w:rsid w:val="00271813"/>
    <w:rsid w:val="00271F3A"/>
    <w:rsid w:val="00273278"/>
    <w:rsid w:val="002733AB"/>
    <w:rsid w:val="002737F4"/>
    <w:rsid w:val="002746B0"/>
    <w:rsid w:val="002805F5"/>
    <w:rsid w:val="00280751"/>
    <w:rsid w:val="00280D50"/>
    <w:rsid w:val="0028280A"/>
    <w:rsid w:val="00286ACD"/>
    <w:rsid w:val="00287838"/>
    <w:rsid w:val="002907B5"/>
    <w:rsid w:val="00292EB7"/>
    <w:rsid w:val="002936A5"/>
    <w:rsid w:val="00296227"/>
    <w:rsid w:val="00296F44"/>
    <w:rsid w:val="0029777D"/>
    <w:rsid w:val="002A055E"/>
    <w:rsid w:val="002A1D4E"/>
    <w:rsid w:val="002A2869"/>
    <w:rsid w:val="002B14C5"/>
    <w:rsid w:val="002B24D6"/>
    <w:rsid w:val="002C06AD"/>
    <w:rsid w:val="002C41E6"/>
    <w:rsid w:val="002C48F8"/>
    <w:rsid w:val="002C6E05"/>
    <w:rsid w:val="002C7629"/>
    <w:rsid w:val="002D02DF"/>
    <w:rsid w:val="002D071A"/>
    <w:rsid w:val="002D34B2"/>
    <w:rsid w:val="002D48B0"/>
    <w:rsid w:val="002D5B37"/>
    <w:rsid w:val="002D7637"/>
    <w:rsid w:val="002E17F2"/>
    <w:rsid w:val="002E6C40"/>
    <w:rsid w:val="002E7CAE"/>
    <w:rsid w:val="002F2771"/>
    <w:rsid w:val="002F37A9"/>
    <w:rsid w:val="002F4126"/>
    <w:rsid w:val="0030051A"/>
    <w:rsid w:val="00301CE6"/>
    <w:rsid w:val="0030256B"/>
    <w:rsid w:val="0030501F"/>
    <w:rsid w:val="00307BA1"/>
    <w:rsid w:val="00311702"/>
    <w:rsid w:val="00311E82"/>
    <w:rsid w:val="0031204B"/>
    <w:rsid w:val="00313FD6"/>
    <w:rsid w:val="003143BD"/>
    <w:rsid w:val="00315363"/>
    <w:rsid w:val="003203ED"/>
    <w:rsid w:val="00322C9F"/>
    <w:rsid w:val="00324D23"/>
    <w:rsid w:val="003258D8"/>
    <w:rsid w:val="003313D5"/>
    <w:rsid w:val="00331751"/>
    <w:rsid w:val="00334579"/>
    <w:rsid w:val="00335858"/>
    <w:rsid w:val="00336BDA"/>
    <w:rsid w:val="0033737A"/>
    <w:rsid w:val="003379CE"/>
    <w:rsid w:val="00342BD7"/>
    <w:rsid w:val="00343238"/>
    <w:rsid w:val="00346DB5"/>
    <w:rsid w:val="003477B1"/>
    <w:rsid w:val="00357380"/>
    <w:rsid w:val="003602D9"/>
    <w:rsid w:val="003604CE"/>
    <w:rsid w:val="00370E47"/>
    <w:rsid w:val="00370F7F"/>
    <w:rsid w:val="003711E2"/>
    <w:rsid w:val="003742AC"/>
    <w:rsid w:val="0037641F"/>
    <w:rsid w:val="00377CE1"/>
    <w:rsid w:val="00381C2B"/>
    <w:rsid w:val="00385BF0"/>
    <w:rsid w:val="00393530"/>
    <w:rsid w:val="003939FF"/>
    <w:rsid w:val="0039563C"/>
    <w:rsid w:val="00395DB5"/>
    <w:rsid w:val="00396830"/>
    <w:rsid w:val="003A2223"/>
    <w:rsid w:val="003A2A0F"/>
    <w:rsid w:val="003A3EAB"/>
    <w:rsid w:val="003A45A1"/>
    <w:rsid w:val="003A5B0A"/>
    <w:rsid w:val="003A6BAC"/>
    <w:rsid w:val="003A70A4"/>
    <w:rsid w:val="003A7EF3"/>
    <w:rsid w:val="003B159C"/>
    <w:rsid w:val="003B3350"/>
    <w:rsid w:val="003B369F"/>
    <w:rsid w:val="003B36A3"/>
    <w:rsid w:val="003B64BB"/>
    <w:rsid w:val="003B7904"/>
    <w:rsid w:val="003B7FE5"/>
    <w:rsid w:val="003C0CD9"/>
    <w:rsid w:val="003C11C8"/>
    <w:rsid w:val="003C2702"/>
    <w:rsid w:val="003C55E3"/>
    <w:rsid w:val="003C7806"/>
    <w:rsid w:val="003D109F"/>
    <w:rsid w:val="003D2478"/>
    <w:rsid w:val="003D3C45"/>
    <w:rsid w:val="003D45BE"/>
    <w:rsid w:val="003D5B1F"/>
    <w:rsid w:val="003D5CF7"/>
    <w:rsid w:val="003E15FA"/>
    <w:rsid w:val="003E3793"/>
    <w:rsid w:val="003E55E4"/>
    <w:rsid w:val="003E5BC0"/>
    <w:rsid w:val="003E74E3"/>
    <w:rsid w:val="003F05C7"/>
    <w:rsid w:val="003F0813"/>
    <w:rsid w:val="003F2CD4"/>
    <w:rsid w:val="003F34A7"/>
    <w:rsid w:val="003F4C17"/>
    <w:rsid w:val="003F6451"/>
    <w:rsid w:val="003F6681"/>
    <w:rsid w:val="003F67ED"/>
    <w:rsid w:val="003F6BBE"/>
    <w:rsid w:val="004000E8"/>
    <w:rsid w:val="004013C7"/>
    <w:rsid w:val="00402E2B"/>
    <w:rsid w:val="004033A8"/>
    <w:rsid w:val="0040512B"/>
    <w:rsid w:val="00405CA5"/>
    <w:rsid w:val="00406BE5"/>
    <w:rsid w:val="00407CD3"/>
    <w:rsid w:val="00410134"/>
    <w:rsid w:val="00410B72"/>
    <w:rsid w:val="00410F18"/>
    <w:rsid w:val="0041263E"/>
    <w:rsid w:val="00412AB3"/>
    <w:rsid w:val="00413AAC"/>
    <w:rsid w:val="00413E92"/>
    <w:rsid w:val="00421105"/>
    <w:rsid w:val="00422AA4"/>
    <w:rsid w:val="004242F4"/>
    <w:rsid w:val="00427248"/>
    <w:rsid w:val="0043244F"/>
    <w:rsid w:val="00435D90"/>
    <w:rsid w:val="00437447"/>
    <w:rsid w:val="00441A92"/>
    <w:rsid w:val="004431DC"/>
    <w:rsid w:val="00444F56"/>
    <w:rsid w:val="00446164"/>
    <w:rsid w:val="00446488"/>
    <w:rsid w:val="004517AA"/>
    <w:rsid w:val="00452CAC"/>
    <w:rsid w:val="00455CAE"/>
    <w:rsid w:val="00457565"/>
    <w:rsid w:val="00457B71"/>
    <w:rsid w:val="00464395"/>
    <w:rsid w:val="0046442B"/>
    <w:rsid w:val="00466286"/>
    <w:rsid w:val="004669E2"/>
    <w:rsid w:val="00470C31"/>
    <w:rsid w:val="00471DE0"/>
    <w:rsid w:val="00472F78"/>
    <w:rsid w:val="004734D0"/>
    <w:rsid w:val="00473A9E"/>
    <w:rsid w:val="00473B0F"/>
    <w:rsid w:val="00475119"/>
    <w:rsid w:val="0047556B"/>
    <w:rsid w:val="00477768"/>
    <w:rsid w:val="004856B3"/>
    <w:rsid w:val="00485A9F"/>
    <w:rsid w:val="00492BC5"/>
    <w:rsid w:val="004938FE"/>
    <w:rsid w:val="004964F1"/>
    <w:rsid w:val="004A150B"/>
    <w:rsid w:val="004A16BC"/>
    <w:rsid w:val="004A2074"/>
    <w:rsid w:val="004A2B94"/>
    <w:rsid w:val="004A3DE0"/>
    <w:rsid w:val="004B4752"/>
    <w:rsid w:val="004B4F24"/>
    <w:rsid w:val="004B6F6A"/>
    <w:rsid w:val="004B755E"/>
    <w:rsid w:val="004B7C0C"/>
    <w:rsid w:val="004C0E57"/>
    <w:rsid w:val="004C3898"/>
    <w:rsid w:val="004D0B3C"/>
    <w:rsid w:val="004D36B1"/>
    <w:rsid w:val="004D5E0B"/>
    <w:rsid w:val="004D7EBD"/>
    <w:rsid w:val="004E2680"/>
    <w:rsid w:val="004E28F9"/>
    <w:rsid w:val="004E36F1"/>
    <w:rsid w:val="004E462E"/>
    <w:rsid w:val="004E56DC"/>
    <w:rsid w:val="004E76F4"/>
    <w:rsid w:val="004F0A6B"/>
    <w:rsid w:val="004F0B4E"/>
    <w:rsid w:val="004F0B6C"/>
    <w:rsid w:val="004F2078"/>
    <w:rsid w:val="004F2969"/>
    <w:rsid w:val="004F4DA3"/>
    <w:rsid w:val="004F5B27"/>
    <w:rsid w:val="00501AC9"/>
    <w:rsid w:val="00503B5F"/>
    <w:rsid w:val="00506557"/>
    <w:rsid w:val="0050677A"/>
    <w:rsid w:val="00507479"/>
    <w:rsid w:val="005108D8"/>
    <w:rsid w:val="005116F9"/>
    <w:rsid w:val="005153A7"/>
    <w:rsid w:val="00515622"/>
    <w:rsid w:val="005219CF"/>
    <w:rsid w:val="00534B59"/>
    <w:rsid w:val="0053555E"/>
    <w:rsid w:val="00536759"/>
    <w:rsid w:val="00537C62"/>
    <w:rsid w:val="00545143"/>
    <w:rsid w:val="00546970"/>
    <w:rsid w:val="0054712F"/>
    <w:rsid w:val="00551D66"/>
    <w:rsid w:val="00554E19"/>
    <w:rsid w:val="005555C4"/>
    <w:rsid w:val="005611CE"/>
    <w:rsid w:val="0056121F"/>
    <w:rsid w:val="00572505"/>
    <w:rsid w:val="00573A99"/>
    <w:rsid w:val="00577D77"/>
    <w:rsid w:val="00581D0B"/>
    <w:rsid w:val="00582809"/>
    <w:rsid w:val="0058798C"/>
    <w:rsid w:val="005900FA"/>
    <w:rsid w:val="005935A4"/>
    <w:rsid w:val="005948C2"/>
    <w:rsid w:val="00595DCA"/>
    <w:rsid w:val="0059779B"/>
    <w:rsid w:val="005A209A"/>
    <w:rsid w:val="005A662D"/>
    <w:rsid w:val="005B1409"/>
    <w:rsid w:val="005B3205"/>
    <w:rsid w:val="005B35D7"/>
    <w:rsid w:val="005B392A"/>
    <w:rsid w:val="005B3AA3"/>
    <w:rsid w:val="005B6F83"/>
    <w:rsid w:val="005C1DDB"/>
    <w:rsid w:val="005C21F9"/>
    <w:rsid w:val="005C2AD3"/>
    <w:rsid w:val="005C74E7"/>
    <w:rsid w:val="005C74FB"/>
    <w:rsid w:val="005D1602"/>
    <w:rsid w:val="005D33A1"/>
    <w:rsid w:val="005E0B99"/>
    <w:rsid w:val="005E385F"/>
    <w:rsid w:val="005E5B81"/>
    <w:rsid w:val="005F2CB1"/>
    <w:rsid w:val="005F3025"/>
    <w:rsid w:val="005F5564"/>
    <w:rsid w:val="005F618C"/>
    <w:rsid w:val="005F70BD"/>
    <w:rsid w:val="0060283C"/>
    <w:rsid w:val="00603E13"/>
    <w:rsid w:val="00604F14"/>
    <w:rsid w:val="00606412"/>
    <w:rsid w:val="00611B83"/>
    <w:rsid w:val="00613257"/>
    <w:rsid w:val="00620A71"/>
    <w:rsid w:val="00620D80"/>
    <w:rsid w:val="006234A6"/>
    <w:rsid w:val="00630001"/>
    <w:rsid w:val="006301AE"/>
    <w:rsid w:val="006311B3"/>
    <w:rsid w:val="0063284C"/>
    <w:rsid w:val="00636398"/>
    <w:rsid w:val="006368D3"/>
    <w:rsid w:val="00636C53"/>
    <w:rsid w:val="006377EC"/>
    <w:rsid w:val="0064151F"/>
    <w:rsid w:val="00641533"/>
    <w:rsid w:val="0064208D"/>
    <w:rsid w:val="00643475"/>
    <w:rsid w:val="0064396A"/>
    <w:rsid w:val="00644866"/>
    <w:rsid w:val="0064624E"/>
    <w:rsid w:val="00650AB9"/>
    <w:rsid w:val="006540EC"/>
    <w:rsid w:val="00655733"/>
    <w:rsid w:val="00655ACD"/>
    <w:rsid w:val="00656A92"/>
    <w:rsid w:val="00656DDE"/>
    <w:rsid w:val="00657FD6"/>
    <w:rsid w:val="0066011D"/>
    <w:rsid w:val="006607C0"/>
    <w:rsid w:val="006613A6"/>
    <w:rsid w:val="006627A2"/>
    <w:rsid w:val="00662A9E"/>
    <w:rsid w:val="006634E6"/>
    <w:rsid w:val="006655EE"/>
    <w:rsid w:val="00667EE7"/>
    <w:rsid w:val="00670922"/>
    <w:rsid w:val="00670BE1"/>
    <w:rsid w:val="00670BFE"/>
    <w:rsid w:val="0067218F"/>
    <w:rsid w:val="006741F2"/>
    <w:rsid w:val="00674CC3"/>
    <w:rsid w:val="00675C72"/>
    <w:rsid w:val="006771F9"/>
    <w:rsid w:val="006776D7"/>
    <w:rsid w:val="00677804"/>
    <w:rsid w:val="00681003"/>
    <w:rsid w:val="006817C9"/>
    <w:rsid w:val="006837E8"/>
    <w:rsid w:val="00683ECE"/>
    <w:rsid w:val="00684678"/>
    <w:rsid w:val="00687CA6"/>
    <w:rsid w:val="00693D03"/>
    <w:rsid w:val="00695FC2"/>
    <w:rsid w:val="00696949"/>
    <w:rsid w:val="00697052"/>
    <w:rsid w:val="006A46FB"/>
    <w:rsid w:val="006A477D"/>
    <w:rsid w:val="006A568B"/>
    <w:rsid w:val="006A57E4"/>
    <w:rsid w:val="006A5E28"/>
    <w:rsid w:val="006A697B"/>
    <w:rsid w:val="006A7AFF"/>
    <w:rsid w:val="006B1816"/>
    <w:rsid w:val="006B2099"/>
    <w:rsid w:val="006B4C79"/>
    <w:rsid w:val="006B50CF"/>
    <w:rsid w:val="006C03B8"/>
    <w:rsid w:val="006C1187"/>
    <w:rsid w:val="006C5CF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1DCF"/>
    <w:rsid w:val="006F341D"/>
    <w:rsid w:val="006F3CDE"/>
    <w:rsid w:val="006F58D4"/>
    <w:rsid w:val="006F6582"/>
    <w:rsid w:val="006F6A42"/>
    <w:rsid w:val="00701406"/>
    <w:rsid w:val="0070346E"/>
    <w:rsid w:val="0070359A"/>
    <w:rsid w:val="00703831"/>
    <w:rsid w:val="00704EDB"/>
    <w:rsid w:val="00706101"/>
    <w:rsid w:val="00707072"/>
    <w:rsid w:val="00707D61"/>
    <w:rsid w:val="00712287"/>
    <w:rsid w:val="00712772"/>
    <w:rsid w:val="007136AD"/>
    <w:rsid w:val="00713AB7"/>
    <w:rsid w:val="007148D3"/>
    <w:rsid w:val="00715B9A"/>
    <w:rsid w:val="007170E7"/>
    <w:rsid w:val="00717FF5"/>
    <w:rsid w:val="00724C13"/>
    <w:rsid w:val="007257D0"/>
    <w:rsid w:val="00725965"/>
    <w:rsid w:val="00726ACC"/>
    <w:rsid w:val="00726EA6"/>
    <w:rsid w:val="00727208"/>
    <w:rsid w:val="00727680"/>
    <w:rsid w:val="00727F26"/>
    <w:rsid w:val="0073123D"/>
    <w:rsid w:val="007348B1"/>
    <w:rsid w:val="007362A6"/>
    <w:rsid w:val="00736D7D"/>
    <w:rsid w:val="00740E58"/>
    <w:rsid w:val="00740F1C"/>
    <w:rsid w:val="007445A0"/>
    <w:rsid w:val="0074524B"/>
    <w:rsid w:val="00746E16"/>
    <w:rsid w:val="00747D8B"/>
    <w:rsid w:val="007507A4"/>
    <w:rsid w:val="00751228"/>
    <w:rsid w:val="007571E1"/>
    <w:rsid w:val="00757A16"/>
    <w:rsid w:val="00757B7A"/>
    <w:rsid w:val="00757B7C"/>
    <w:rsid w:val="007604B2"/>
    <w:rsid w:val="0076307C"/>
    <w:rsid w:val="00764AA3"/>
    <w:rsid w:val="00765281"/>
    <w:rsid w:val="00766BAD"/>
    <w:rsid w:val="00771599"/>
    <w:rsid w:val="00771F06"/>
    <w:rsid w:val="007729A2"/>
    <w:rsid w:val="007755F2"/>
    <w:rsid w:val="00776971"/>
    <w:rsid w:val="00780A80"/>
    <w:rsid w:val="0078177E"/>
    <w:rsid w:val="00781C59"/>
    <w:rsid w:val="0078304C"/>
    <w:rsid w:val="00783673"/>
    <w:rsid w:val="00785490"/>
    <w:rsid w:val="007925EA"/>
    <w:rsid w:val="007938F5"/>
    <w:rsid w:val="00793CD8"/>
    <w:rsid w:val="00795C92"/>
    <w:rsid w:val="00796231"/>
    <w:rsid w:val="007A05FE"/>
    <w:rsid w:val="007A1CB3"/>
    <w:rsid w:val="007A306F"/>
    <w:rsid w:val="007A333E"/>
    <w:rsid w:val="007A43A6"/>
    <w:rsid w:val="007A58A6"/>
    <w:rsid w:val="007B3D2D"/>
    <w:rsid w:val="007B50AE"/>
    <w:rsid w:val="007B51DF"/>
    <w:rsid w:val="007B59C4"/>
    <w:rsid w:val="007C05DD"/>
    <w:rsid w:val="007C2B89"/>
    <w:rsid w:val="007C2D23"/>
    <w:rsid w:val="007C3D18"/>
    <w:rsid w:val="007C60BF"/>
    <w:rsid w:val="007C6A07"/>
    <w:rsid w:val="007C75A1"/>
    <w:rsid w:val="007C77A5"/>
    <w:rsid w:val="007D04E5"/>
    <w:rsid w:val="007D5901"/>
    <w:rsid w:val="007D7368"/>
    <w:rsid w:val="007D7526"/>
    <w:rsid w:val="007E4610"/>
    <w:rsid w:val="007E4715"/>
    <w:rsid w:val="007E505B"/>
    <w:rsid w:val="007E51CA"/>
    <w:rsid w:val="007E7091"/>
    <w:rsid w:val="008033A3"/>
    <w:rsid w:val="008037F0"/>
    <w:rsid w:val="00803FAE"/>
    <w:rsid w:val="008056C9"/>
    <w:rsid w:val="0080605F"/>
    <w:rsid w:val="0080704E"/>
    <w:rsid w:val="00807786"/>
    <w:rsid w:val="00811165"/>
    <w:rsid w:val="00811FCB"/>
    <w:rsid w:val="008158D6"/>
    <w:rsid w:val="00817196"/>
    <w:rsid w:val="008235DB"/>
    <w:rsid w:val="00824AB4"/>
    <w:rsid w:val="00825C42"/>
    <w:rsid w:val="00825D25"/>
    <w:rsid w:val="0082644D"/>
    <w:rsid w:val="00827D6F"/>
    <w:rsid w:val="00830137"/>
    <w:rsid w:val="00832F42"/>
    <w:rsid w:val="008376AC"/>
    <w:rsid w:val="0084399A"/>
    <w:rsid w:val="008444E8"/>
    <w:rsid w:val="00844E80"/>
    <w:rsid w:val="008466A3"/>
    <w:rsid w:val="00846FE7"/>
    <w:rsid w:val="00856911"/>
    <w:rsid w:val="0086110F"/>
    <w:rsid w:val="0086261A"/>
    <w:rsid w:val="008677FD"/>
    <w:rsid w:val="008706D4"/>
    <w:rsid w:val="00870F8A"/>
    <w:rsid w:val="008719A4"/>
    <w:rsid w:val="00871D23"/>
    <w:rsid w:val="00874312"/>
    <w:rsid w:val="0087437C"/>
    <w:rsid w:val="00875CD7"/>
    <w:rsid w:val="00876B4D"/>
    <w:rsid w:val="00877CE5"/>
    <w:rsid w:val="00877F18"/>
    <w:rsid w:val="0088445F"/>
    <w:rsid w:val="00884A0C"/>
    <w:rsid w:val="00886AC9"/>
    <w:rsid w:val="00893B5C"/>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2A9"/>
    <w:rsid w:val="008B6459"/>
    <w:rsid w:val="008B7B5C"/>
    <w:rsid w:val="008C0C99"/>
    <w:rsid w:val="008C14AC"/>
    <w:rsid w:val="008C2017"/>
    <w:rsid w:val="008C22D4"/>
    <w:rsid w:val="008C4958"/>
    <w:rsid w:val="008C4BAA"/>
    <w:rsid w:val="008C57B3"/>
    <w:rsid w:val="008C6AE8"/>
    <w:rsid w:val="008C7573"/>
    <w:rsid w:val="008D00A5"/>
    <w:rsid w:val="008D34F1"/>
    <w:rsid w:val="008D39D8"/>
    <w:rsid w:val="008D6D1A"/>
    <w:rsid w:val="008E065E"/>
    <w:rsid w:val="008E0927"/>
    <w:rsid w:val="008E1909"/>
    <w:rsid w:val="008E5C5C"/>
    <w:rsid w:val="008F122A"/>
    <w:rsid w:val="008F1EAB"/>
    <w:rsid w:val="008F33DC"/>
    <w:rsid w:val="008F477F"/>
    <w:rsid w:val="00902350"/>
    <w:rsid w:val="0090336B"/>
    <w:rsid w:val="00904545"/>
    <w:rsid w:val="00904769"/>
    <w:rsid w:val="009053AA"/>
    <w:rsid w:val="00906939"/>
    <w:rsid w:val="00910B7D"/>
    <w:rsid w:val="00911DFB"/>
    <w:rsid w:val="0091297E"/>
    <w:rsid w:val="009139D9"/>
    <w:rsid w:val="00914AA4"/>
    <w:rsid w:val="00914AD8"/>
    <w:rsid w:val="00916079"/>
    <w:rsid w:val="00917CE9"/>
    <w:rsid w:val="00920BF2"/>
    <w:rsid w:val="00922010"/>
    <w:rsid w:val="00922D37"/>
    <w:rsid w:val="00922EB1"/>
    <w:rsid w:val="00922ED8"/>
    <w:rsid w:val="00925770"/>
    <w:rsid w:val="00931BD9"/>
    <w:rsid w:val="00936875"/>
    <w:rsid w:val="009368F3"/>
    <w:rsid w:val="0093777B"/>
    <w:rsid w:val="00940592"/>
    <w:rsid w:val="009414FC"/>
    <w:rsid w:val="00941636"/>
    <w:rsid w:val="00943742"/>
    <w:rsid w:val="0094379E"/>
    <w:rsid w:val="00945C05"/>
    <w:rsid w:val="00946945"/>
    <w:rsid w:val="00947713"/>
    <w:rsid w:val="009502E0"/>
    <w:rsid w:val="00950DE7"/>
    <w:rsid w:val="00950DF7"/>
    <w:rsid w:val="00953920"/>
    <w:rsid w:val="00953D47"/>
    <w:rsid w:val="00954AAF"/>
    <w:rsid w:val="0095681E"/>
    <w:rsid w:val="009572D4"/>
    <w:rsid w:val="00957635"/>
    <w:rsid w:val="0096054E"/>
    <w:rsid w:val="00961921"/>
    <w:rsid w:val="00963764"/>
    <w:rsid w:val="0096430A"/>
    <w:rsid w:val="0096554B"/>
    <w:rsid w:val="0096584A"/>
    <w:rsid w:val="00971F08"/>
    <w:rsid w:val="00972474"/>
    <w:rsid w:val="00972880"/>
    <w:rsid w:val="00974342"/>
    <w:rsid w:val="0097603D"/>
    <w:rsid w:val="00976949"/>
    <w:rsid w:val="009776F9"/>
    <w:rsid w:val="00980477"/>
    <w:rsid w:val="00982581"/>
    <w:rsid w:val="009845B8"/>
    <w:rsid w:val="00985253"/>
    <w:rsid w:val="009853B3"/>
    <w:rsid w:val="00990630"/>
    <w:rsid w:val="00991761"/>
    <w:rsid w:val="00994DCA"/>
    <w:rsid w:val="009960EC"/>
    <w:rsid w:val="009970DD"/>
    <w:rsid w:val="00997304"/>
    <w:rsid w:val="009A0FBA"/>
    <w:rsid w:val="009A1601"/>
    <w:rsid w:val="009A3BB6"/>
    <w:rsid w:val="009A462D"/>
    <w:rsid w:val="009A5CBA"/>
    <w:rsid w:val="009B1156"/>
    <w:rsid w:val="009B1F30"/>
    <w:rsid w:val="009B2743"/>
    <w:rsid w:val="009B3AC2"/>
    <w:rsid w:val="009B4DF4"/>
    <w:rsid w:val="009B53CF"/>
    <w:rsid w:val="009B564E"/>
    <w:rsid w:val="009B75B7"/>
    <w:rsid w:val="009B7E87"/>
    <w:rsid w:val="009C0169"/>
    <w:rsid w:val="009C3BCC"/>
    <w:rsid w:val="009C403E"/>
    <w:rsid w:val="009D4FF0"/>
    <w:rsid w:val="009D703C"/>
    <w:rsid w:val="009D718F"/>
    <w:rsid w:val="009E068F"/>
    <w:rsid w:val="009E14E0"/>
    <w:rsid w:val="009E35DB"/>
    <w:rsid w:val="009E47A3"/>
    <w:rsid w:val="009F08F3"/>
    <w:rsid w:val="009F344F"/>
    <w:rsid w:val="009F53B6"/>
    <w:rsid w:val="00A03074"/>
    <w:rsid w:val="00A031D8"/>
    <w:rsid w:val="00A048A8"/>
    <w:rsid w:val="00A04F49"/>
    <w:rsid w:val="00A13E54"/>
    <w:rsid w:val="00A14BEE"/>
    <w:rsid w:val="00A1777B"/>
    <w:rsid w:val="00A17F63"/>
    <w:rsid w:val="00A20937"/>
    <w:rsid w:val="00A2193B"/>
    <w:rsid w:val="00A2351A"/>
    <w:rsid w:val="00A25BEA"/>
    <w:rsid w:val="00A264A9"/>
    <w:rsid w:val="00A2661C"/>
    <w:rsid w:val="00A26DCF"/>
    <w:rsid w:val="00A27785"/>
    <w:rsid w:val="00A30187"/>
    <w:rsid w:val="00A3448A"/>
    <w:rsid w:val="00A36297"/>
    <w:rsid w:val="00A41E2B"/>
    <w:rsid w:val="00A43569"/>
    <w:rsid w:val="00A45B74"/>
    <w:rsid w:val="00A52464"/>
    <w:rsid w:val="00A52E1D"/>
    <w:rsid w:val="00A56491"/>
    <w:rsid w:val="00A57576"/>
    <w:rsid w:val="00A57BD7"/>
    <w:rsid w:val="00A61499"/>
    <w:rsid w:val="00A62A77"/>
    <w:rsid w:val="00A63483"/>
    <w:rsid w:val="00A634CE"/>
    <w:rsid w:val="00A657D7"/>
    <w:rsid w:val="00A660AC"/>
    <w:rsid w:val="00A67E6C"/>
    <w:rsid w:val="00A703A7"/>
    <w:rsid w:val="00A71B99"/>
    <w:rsid w:val="00A739D0"/>
    <w:rsid w:val="00A74DD9"/>
    <w:rsid w:val="00A761D4"/>
    <w:rsid w:val="00A77EC4"/>
    <w:rsid w:val="00A91ED7"/>
    <w:rsid w:val="00A92879"/>
    <w:rsid w:val="00A9442A"/>
    <w:rsid w:val="00AA016F"/>
    <w:rsid w:val="00AA1ED6"/>
    <w:rsid w:val="00AA2684"/>
    <w:rsid w:val="00AA51D6"/>
    <w:rsid w:val="00AA541B"/>
    <w:rsid w:val="00AA6CE6"/>
    <w:rsid w:val="00AB014E"/>
    <w:rsid w:val="00AB0BC8"/>
    <w:rsid w:val="00AB11CA"/>
    <w:rsid w:val="00AB14D9"/>
    <w:rsid w:val="00AB3D8A"/>
    <w:rsid w:val="00AB4AB8"/>
    <w:rsid w:val="00AB584B"/>
    <w:rsid w:val="00AB5CEC"/>
    <w:rsid w:val="00AB655E"/>
    <w:rsid w:val="00AC007F"/>
    <w:rsid w:val="00AC2ECD"/>
    <w:rsid w:val="00AC3119"/>
    <w:rsid w:val="00AC47BF"/>
    <w:rsid w:val="00AC49FB"/>
    <w:rsid w:val="00AC4C47"/>
    <w:rsid w:val="00AC5A10"/>
    <w:rsid w:val="00AD0AA3"/>
    <w:rsid w:val="00AD19D8"/>
    <w:rsid w:val="00AD3F94"/>
    <w:rsid w:val="00AD4A5A"/>
    <w:rsid w:val="00AE27AC"/>
    <w:rsid w:val="00AE40E0"/>
    <w:rsid w:val="00AE4DBA"/>
    <w:rsid w:val="00AE4F07"/>
    <w:rsid w:val="00AF1C5D"/>
    <w:rsid w:val="00AF42D7"/>
    <w:rsid w:val="00AF648E"/>
    <w:rsid w:val="00B006FE"/>
    <w:rsid w:val="00B007CB"/>
    <w:rsid w:val="00B010F9"/>
    <w:rsid w:val="00B0123B"/>
    <w:rsid w:val="00B02AA9"/>
    <w:rsid w:val="00B02FA3"/>
    <w:rsid w:val="00B049EF"/>
    <w:rsid w:val="00B05084"/>
    <w:rsid w:val="00B125F7"/>
    <w:rsid w:val="00B157F9"/>
    <w:rsid w:val="00B17E2F"/>
    <w:rsid w:val="00B20256"/>
    <w:rsid w:val="00B20D09"/>
    <w:rsid w:val="00B2763F"/>
    <w:rsid w:val="00B27AAC"/>
    <w:rsid w:val="00B30929"/>
    <w:rsid w:val="00B34B95"/>
    <w:rsid w:val="00B372AA"/>
    <w:rsid w:val="00B40445"/>
    <w:rsid w:val="00B409E0"/>
    <w:rsid w:val="00B41888"/>
    <w:rsid w:val="00B426A4"/>
    <w:rsid w:val="00B43B52"/>
    <w:rsid w:val="00B44731"/>
    <w:rsid w:val="00B45A52"/>
    <w:rsid w:val="00B46175"/>
    <w:rsid w:val="00B47AB0"/>
    <w:rsid w:val="00B47BF2"/>
    <w:rsid w:val="00B47F30"/>
    <w:rsid w:val="00B5444C"/>
    <w:rsid w:val="00B548B7"/>
    <w:rsid w:val="00B54927"/>
    <w:rsid w:val="00B561DF"/>
    <w:rsid w:val="00B60C0A"/>
    <w:rsid w:val="00B61F20"/>
    <w:rsid w:val="00B657EF"/>
    <w:rsid w:val="00B664C7"/>
    <w:rsid w:val="00B6677E"/>
    <w:rsid w:val="00B739F6"/>
    <w:rsid w:val="00B75184"/>
    <w:rsid w:val="00B81A6C"/>
    <w:rsid w:val="00B85DE5"/>
    <w:rsid w:val="00B90F73"/>
    <w:rsid w:val="00B93B59"/>
    <w:rsid w:val="00B9406A"/>
    <w:rsid w:val="00BA2280"/>
    <w:rsid w:val="00BA2A08"/>
    <w:rsid w:val="00BA475C"/>
    <w:rsid w:val="00BA4CEA"/>
    <w:rsid w:val="00BA56D2"/>
    <w:rsid w:val="00BA76E0"/>
    <w:rsid w:val="00BB2A25"/>
    <w:rsid w:val="00BB4FAF"/>
    <w:rsid w:val="00BB51E9"/>
    <w:rsid w:val="00BB7E1C"/>
    <w:rsid w:val="00BC0FDC"/>
    <w:rsid w:val="00BC3053"/>
    <w:rsid w:val="00BC4D2E"/>
    <w:rsid w:val="00BD1AF7"/>
    <w:rsid w:val="00BD405C"/>
    <w:rsid w:val="00BD48AC"/>
    <w:rsid w:val="00BD5EEE"/>
    <w:rsid w:val="00BD5F1A"/>
    <w:rsid w:val="00BE1234"/>
    <w:rsid w:val="00BE2FA6"/>
    <w:rsid w:val="00BE333F"/>
    <w:rsid w:val="00BE4176"/>
    <w:rsid w:val="00BE7406"/>
    <w:rsid w:val="00BE7603"/>
    <w:rsid w:val="00BF3279"/>
    <w:rsid w:val="00BF74C7"/>
    <w:rsid w:val="00C015F1"/>
    <w:rsid w:val="00C01F33"/>
    <w:rsid w:val="00C021BC"/>
    <w:rsid w:val="00C02CC6"/>
    <w:rsid w:val="00C040F7"/>
    <w:rsid w:val="00C044AB"/>
    <w:rsid w:val="00C05706"/>
    <w:rsid w:val="00C07377"/>
    <w:rsid w:val="00C10478"/>
    <w:rsid w:val="00C12107"/>
    <w:rsid w:val="00C13247"/>
    <w:rsid w:val="00C14D4B"/>
    <w:rsid w:val="00C154BB"/>
    <w:rsid w:val="00C15D61"/>
    <w:rsid w:val="00C22904"/>
    <w:rsid w:val="00C279B5"/>
    <w:rsid w:val="00C27A96"/>
    <w:rsid w:val="00C27C45"/>
    <w:rsid w:val="00C3719D"/>
    <w:rsid w:val="00C37CB2"/>
    <w:rsid w:val="00C44797"/>
    <w:rsid w:val="00C473A5"/>
    <w:rsid w:val="00C47EB6"/>
    <w:rsid w:val="00C542D5"/>
    <w:rsid w:val="00C54995"/>
    <w:rsid w:val="00C54D41"/>
    <w:rsid w:val="00C5762F"/>
    <w:rsid w:val="00C60783"/>
    <w:rsid w:val="00C64672"/>
    <w:rsid w:val="00C70697"/>
    <w:rsid w:val="00C72093"/>
    <w:rsid w:val="00C72CE7"/>
    <w:rsid w:val="00C72EF4"/>
    <w:rsid w:val="00C744FE"/>
    <w:rsid w:val="00C75D2F"/>
    <w:rsid w:val="00C767BE"/>
    <w:rsid w:val="00C76E3C"/>
    <w:rsid w:val="00C8047E"/>
    <w:rsid w:val="00C8116D"/>
    <w:rsid w:val="00C81568"/>
    <w:rsid w:val="00C824D5"/>
    <w:rsid w:val="00C82FBC"/>
    <w:rsid w:val="00C9027A"/>
    <w:rsid w:val="00C9068E"/>
    <w:rsid w:val="00C91E5D"/>
    <w:rsid w:val="00C92408"/>
    <w:rsid w:val="00C9331D"/>
    <w:rsid w:val="00C93814"/>
    <w:rsid w:val="00C93C4B"/>
    <w:rsid w:val="00C94182"/>
    <w:rsid w:val="00C944AB"/>
    <w:rsid w:val="00C95183"/>
    <w:rsid w:val="00C95B40"/>
    <w:rsid w:val="00CA1ED8"/>
    <w:rsid w:val="00CA5E68"/>
    <w:rsid w:val="00CB0C70"/>
    <w:rsid w:val="00CB1F63"/>
    <w:rsid w:val="00CB7170"/>
    <w:rsid w:val="00CB7746"/>
    <w:rsid w:val="00CC040E"/>
    <w:rsid w:val="00CC111F"/>
    <w:rsid w:val="00CC2011"/>
    <w:rsid w:val="00CC3EA0"/>
    <w:rsid w:val="00CC4F4E"/>
    <w:rsid w:val="00CC5D66"/>
    <w:rsid w:val="00CC5F4A"/>
    <w:rsid w:val="00CC7AC5"/>
    <w:rsid w:val="00CC7B45"/>
    <w:rsid w:val="00CD1188"/>
    <w:rsid w:val="00CD2ED1"/>
    <w:rsid w:val="00CD337B"/>
    <w:rsid w:val="00CD648C"/>
    <w:rsid w:val="00CE0424"/>
    <w:rsid w:val="00CE6E0D"/>
    <w:rsid w:val="00CE7561"/>
    <w:rsid w:val="00CE7C5B"/>
    <w:rsid w:val="00CF0218"/>
    <w:rsid w:val="00CF1354"/>
    <w:rsid w:val="00CF153F"/>
    <w:rsid w:val="00CF24D4"/>
    <w:rsid w:val="00CF2FD8"/>
    <w:rsid w:val="00CF31B9"/>
    <w:rsid w:val="00CF3B1F"/>
    <w:rsid w:val="00CF3BF6"/>
    <w:rsid w:val="00CF625B"/>
    <w:rsid w:val="00CF687E"/>
    <w:rsid w:val="00D0349B"/>
    <w:rsid w:val="00D036C0"/>
    <w:rsid w:val="00D10249"/>
    <w:rsid w:val="00D10F64"/>
    <w:rsid w:val="00D115C3"/>
    <w:rsid w:val="00D11897"/>
    <w:rsid w:val="00D13135"/>
    <w:rsid w:val="00D13E4E"/>
    <w:rsid w:val="00D21247"/>
    <w:rsid w:val="00D22C78"/>
    <w:rsid w:val="00D239A7"/>
    <w:rsid w:val="00D23F47"/>
    <w:rsid w:val="00D2407F"/>
    <w:rsid w:val="00D240CC"/>
    <w:rsid w:val="00D2583A"/>
    <w:rsid w:val="00D25E1D"/>
    <w:rsid w:val="00D27FF7"/>
    <w:rsid w:val="00D36E71"/>
    <w:rsid w:val="00D37D87"/>
    <w:rsid w:val="00D40255"/>
    <w:rsid w:val="00D40B33"/>
    <w:rsid w:val="00D4295F"/>
    <w:rsid w:val="00D4318F"/>
    <w:rsid w:val="00D438BF"/>
    <w:rsid w:val="00D440F8"/>
    <w:rsid w:val="00D5056C"/>
    <w:rsid w:val="00D53FEE"/>
    <w:rsid w:val="00D546FF"/>
    <w:rsid w:val="00D556A7"/>
    <w:rsid w:val="00D55AD5"/>
    <w:rsid w:val="00D576CA"/>
    <w:rsid w:val="00D61AF5"/>
    <w:rsid w:val="00D63428"/>
    <w:rsid w:val="00D63518"/>
    <w:rsid w:val="00D652B5"/>
    <w:rsid w:val="00D66155"/>
    <w:rsid w:val="00D708B0"/>
    <w:rsid w:val="00D7766C"/>
    <w:rsid w:val="00D77B1D"/>
    <w:rsid w:val="00D8021F"/>
    <w:rsid w:val="00D80383"/>
    <w:rsid w:val="00D823C6"/>
    <w:rsid w:val="00D8327F"/>
    <w:rsid w:val="00D83C69"/>
    <w:rsid w:val="00D84C0E"/>
    <w:rsid w:val="00D86CA3"/>
    <w:rsid w:val="00D871CE"/>
    <w:rsid w:val="00D9196D"/>
    <w:rsid w:val="00D92982"/>
    <w:rsid w:val="00DA305E"/>
    <w:rsid w:val="00DA5417"/>
    <w:rsid w:val="00DA56E8"/>
    <w:rsid w:val="00DB0A9F"/>
    <w:rsid w:val="00DB1A53"/>
    <w:rsid w:val="00DB377D"/>
    <w:rsid w:val="00DC2D36"/>
    <w:rsid w:val="00DC53EF"/>
    <w:rsid w:val="00DD6508"/>
    <w:rsid w:val="00DE5608"/>
    <w:rsid w:val="00DE58D0"/>
    <w:rsid w:val="00DE654F"/>
    <w:rsid w:val="00DE6DFB"/>
    <w:rsid w:val="00DE7F4D"/>
    <w:rsid w:val="00DF010F"/>
    <w:rsid w:val="00DF0B6E"/>
    <w:rsid w:val="00DF15E0"/>
    <w:rsid w:val="00DF2FAD"/>
    <w:rsid w:val="00DF37A0"/>
    <w:rsid w:val="00E02974"/>
    <w:rsid w:val="00E05A99"/>
    <w:rsid w:val="00E070BA"/>
    <w:rsid w:val="00E0776D"/>
    <w:rsid w:val="00E07948"/>
    <w:rsid w:val="00E10540"/>
    <w:rsid w:val="00E110E7"/>
    <w:rsid w:val="00E11B20"/>
    <w:rsid w:val="00E17DFF"/>
    <w:rsid w:val="00E17FA2"/>
    <w:rsid w:val="00E22330"/>
    <w:rsid w:val="00E2269F"/>
    <w:rsid w:val="00E263F8"/>
    <w:rsid w:val="00E30B5A"/>
    <w:rsid w:val="00E3123D"/>
    <w:rsid w:val="00E31461"/>
    <w:rsid w:val="00E31D43"/>
    <w:rsid w:val="00E32608"/>
    <w:rsid w:val="00E34188"/>
    <w:rsid w:val="00E34B6E"/>
    <w:rsid w:val="00E35559"/>
    <w:rsid w:val="00E3723A"/>
    <w:rsid w:val="00E37622"/>
    <w:rsid w:val="00E37860"/>
    <w:rsid w:val="00E438AD"/>
    <w:rsid w:val="00E446F1"/>
    <w:rsid w:val="00E45504"/>
    <w:rsid w:val="00E46886"/>
    <w:rsid w:val="00E47AEF"/>
    <w:rsid w:val="00E52499"/>
    <w:rsid w:val="00E532B6"/>
    <w:rsid w:val="00E53B75"/>
    <w:rsid w:val="00E54E3B"/>
    <w:rsid w:val="00E57565"/>
    <w:rsid w:val="00E61C9E"/>
    <w:rsid w:val="00E63838"/>
    <w:rsid w:val="00E64434"/>
    <w:rsid w:val="00E65330"/>
    <w:rsid w:val="00E67C51"/>
    <w:rsid w:val="00E7198C"/>
    <w:rsid w:val="00E72EFC"/>
    <w:rsid w:val="00E758EC"/>
    <w:rsid w:val="00E8234C"/>
    <w:rsid w:val="00E83AA9"/>
    <w:rsid w:val="00E85928"/>
    <w:rsid w:val="00E86668"/>
    <w:rsid w:val="00E87822"/>
    <w:rsid w:val="00E90395"/>
    <w:rsid w:val="00E90E49"/>
    <w:rsid w:val="00E917F9"/>
    <w:rsid w:val="00E9291C"/>
    <w:rsid w:val="00E939EE"/>
    <w:rsid w:val="00E93FFE"/>
    <w:rsid w:val="00E94F8A"/>
    <w:rsid w:val="00EA0E89"/>
    <w:rsid w:val="00EA2AF2"/>
    <w:rsid w:val="00EA7A41"/>
    <w:rsid w:val="00EB077B"/>
    <w:rsid w:val="00EB1421"/>
    <w:rsid w:val="00EB3549"/>
    <w:rsid w:val="00EB44CD"/>
    <w:rsid w:val="00EB4EA2"/>
    <w:rsid w:val="00EC09DF"/>
    <w:rsid w:val="00EC24D5"/>
    <w:rsid w:val="00EC27C6"/>
    <w:rsid w:val="00EC4207"/>
    <w:rsid w:val="00EC4447"/>
    <w:rsid w:val="00EC4484"/>
    <w:rsid w:val="00EC5653"/>
    <w:rsid w:val="00EC71CE"/>
    <w:rsid w:val="00ED091D"/>
    <w:rsid w:val="00ED1006"/>
    <w:rsid w:val="00ED1420"/>
    <w:rsid w:val="00EE7E06"/>
    <w:rsid w:val="00EF1393"/>
    <w:rsid w:val="00EF1580"/>
    <w:rsid w:val="00EF18FE"/>
    <w:rsid w:val="00EF5787"/>
    <w:rsid w:val="00EF60D0"/>
    <w:rsid w:val="00F017A3"/>
    <w:rsid w:val="00F04264"/>
    <w:rsid w:val="00F0528D"/>
    <w:rsid w:val="00F06C67"/>
    <w:rsid w:val="00F06DFD"/>
    <w:rsid w:val="00F071D1"/>
    <w:rsid w:val="00F07533"/>
    <w:rsid w:val="00F10629"/>
    <w:rsid w:val="00F14711"/>
    <w:rsid w:val="00F153E6"/>
    <w:rsid w:val="00F1573F"/>
    <w:rsid w:val="00F15FA5"/>
    <w:rsid w:val="00F209B7"/>
    <w:rsid w:val="00F2376F"/>
    <w:rsid w:val="00F243D8"/>
    <w:rsid w:val="00F30828"/>
    <w:rsid w:val="00F313D6"/>
    <w:rsid w:val="00F32819"/>
    <w:rsid w:val="00F40F0C"/>
    <w:rsid w:val="00F422D6"/>
    <w:rsid w:val="00F43D18"/>
    <w:rsid w:val="00F44A77"/>
    <w:rsid w:val="00F4766C"/>
    <w:rsid w:val="00F47D18"/>
    <w:rsid w:val="00F5060E"/>
    <w:rsid w:val="00F507D1"/>
    <w:rsid w:val="00F519CE"/>
    <w:rsid w:val="00F51ADA"/>
    <w:rsid w:val="00F52117"/>
    <w:rsid w:val="00F5224A"/>
    <w:rsid w:val="00F60203"/>
    <w:rsid w:val="00F607C5"/>
    <w:rsid w:val="00F609B9"/>
    <w:rsid w:val="00F60DEA"/>
    <w:rsid w:val="00F60E71"/>
    <w:rsid w:val="00F610F6"/>
    <w:rsid w:val="00F62F10"/>
    <w:rsid w:val="00F6302A"/>
    <w:rsid w:val="00F63950"/>
    <w:rsid w:val="00F64C2B"/>
    <w:rsid w:val="00F64C77"/>
    <w:rsid w:val="00F651BE"/>
    <w:rsid w:val="00F66F9F"/>
    <w:rsid w:val="00F6705A"/>
    <w:rsid w:val="00F67F53"/>
    <w:rsid w:val="00F703BE"/>
    <w:rsid w:val="00F704C2"/>
    <w:rsid w:val="00F71F69"/>
    <w:rsid w:val="00F72B72"/>
    <w:rsid w:val="00F74BB9"/>
    <w:rsid w:val="00F754CA"/>
    <w:rsid w:val="00F75582"/>
    <w:rsid w:val="00F76C99"/>
    <w:rsid w:val="00F76EFA"/>
    <w:rsid w:val="00F804BE"/>
    <w:rsid w:val="00F81657"/>
    <w:rsid w:val="00F817CE"/>
    <w:rsid w:val="00F8456C"/>
    <w:rsid w:val="00F85492"/>
    <w:rsid w:val="00F859D8"/>
    <w:rsid w:val="00F868F5"/>
    <w:rsid w:val="00F9056A"/>
    <w:rsid w:val="00F90F8D"/>
    <w:rsid w:val="00F91D13"/>
    <w:rsid w:val="00F92782"/>
    <w:rsid w:val="00F93AA9"/>
    <w:rsid w:val="00F95DD4"/>
    <w:rsid w:val="00F96985"/>
    <w:rsid w:val="00F97838"/>
    <w:rsid w:val="00FA2BB3"/>
    <w:rsid w:val="00FA7BF5"/>
    <w:rsid w:val="00FB4C80"/>
    <w:rsid w:val="00FB6A6A"/>
    <w:rsid w:val="00FB7937"/>
    <w:rsid w:val="00FB7D60"/>
    <w:rsid w:val="00FC39D2"/>
    <w:rsid w:val="00FC6127"/>
    <w:rsid w:val="00FC7429"/>
    <w:rsid w:val="00FD0369"/>
    <w:rsid w:val="00FD07F6"/>
    <w:rsid w:val="00FD0EA5"/>
    <w:rsid w:val="00FD0FF5"/>
    <w:rsid w:val="00FD1AA2"/>
    <w:rsid w:val="00FD1EC8"/>
    <w:rsid w:val="00FD3C37"/>
    <w:rsid w:val="00FD4723"/>
    <w:rsid w:val="00FD47ED"/>
    <w:rsid w:val="00FD6E67"/>
    <w:rsid w:val="00FD74DB"/>
    <w:rsid w:val="00FD7660"/>
    <w:rsid w:val="00FE0655"/>
    <w:rsid w:val="00FE2365"/>
    <w:rsid w:val="00FE37D7"/>
    <w:rsid w:val="00FE4637"/>
    <w:rsid w:val="00FE4C7B"/>
    <w:rsid w:val="00FE6E8D"/>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1195FD"/>
  <w15:chartTrackingRefBased/>
  <w15:docId w15:val="{35549C63-2540-4D0F-8A25-EEC3001E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FF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BodyText"/>
    <w:next w:val="BodyText"/>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B3350"/>
    <w:pPr>
      <w:spacing w:after="120"/>
      <w:jc w:val="both"/>
    </w:pPr>
    <w:rPr>
      <w:rFonts w:ascii="Arial" w:hAnsi="Arial"/>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3B3350"/>
    <w:rPr>
      <w:rFonts w:ascii="Arial" w:eastAsiaTheme="minorHAnsi" w:hAnsi="Arial" w:cstheme="minorBidi"/>
      <w:szCs w:val="22"/>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5NUHHDQN7SK2-1476151046-47119</_dlc_DocId>
    <_dlc_DocIdUrl xmlns="f166a696-7b5b-4ccd-9f0c-ffde0cceec81">
      <Url>https://ericsson.sharepoint.com/sites/star/_layouts/15/DocIdRedir.aspx?ID=5NUHHDQN7SK2-1476151046-47119</Url>
      <Description>5NUHHDQN7SK2-1476151046-47119</Description>
    </_dlc_DocIdUrl>
  </documentManagement>
</p:properties>
</file>

<file path=customXml/itemProps1.xml><?xml version="1.0" encoding="utf-8"?>
<ds:datastoreItem xmlns:ds="http://schemas.openxmlformats.org/officeDocument/2006/customXml" ds:itemID="{8A05AB84-2B6F-4407-9DE1-6824A2AD27CD}">
  <ds:schemaRefs>
    <ds:schemaRef ds:uri="http://schemas.microsoft.com/sharepoint/events"/>
  </ds:schemaRefs>
</ds:datastoreItem>
</file>

<file path=customXml/itemProps2.xml><?xml version="1.0" encoding="utf-8"?>
<ds:datastoreItem xmlns:ds="http://schemas.openxmlformats.org/officeDocument/2006/customXml" ds:itemID="{D422B091-175F-CA47-BD4F-F1232C097BCD}">
  <ds:schemaRefs>
    <ds:schemaRef ds:uri="http://schemas.openxmlformats.org/officeDocument/2006/bibliography"/>
  </ds:schemaRefs>
</ds:datastoreItem>
</file>

<file path=customXml/itemProps3.xml><?xml version="1.0" encoding="utf-8"?>
<ds:datastoreItem xmlns:ds="http://schemas.openxmlformats.org/officeDocument/2006/customXml" ds:itemID="{213652B9-92BE-4B73-ACC6-7294E3CD241D}">
  <ds:schemaRefs>
    <ds:schemaRef ds:uri="Microsoft.SharePoint.Taxonomy.ContentTypeSync"/>
  </ds:schemaRefs>
</ds:datastoreItem>
</file>

<file path=customXml/itemProps4.xml><?xml version="1.0" encoding="utf-8"?>
<ds:datastoreItem xmlns:ds="http://schemas.openxmlformats.org/officeDocument/2006/customXml" ds:itemID="{A4D3E9BF-EBDB-4D56-B108-4C28E2E64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E5F8C4-ED24-4FA1-8FE1-453E54423C4B}">
  <ds:schemaRefs>
    <ds:schemaRef ds:uri="http://schemas.microsoft.com/sharepoint/v3/contenttype/forms"/>
  </ds:schemaRefs>
</ds:datastoreItem>
</file>

<file path=customXml/itemProps6.xml><?xml version="1.0" encoding="utf-8"?>
<ds:datastoreItem xmlns:ds="http://schemas.openxmlformats.org/officeDocument/2006/customXml" ds:itemID="{46ABAFD2-14A1-43BB-870F-168627E6D07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Pages>
  <Words>1303</Words>
  <Characters>7433</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8719</CharactersWithSpaces>
  <SharedDoc>false</SharedDoc>
  <HLinks>
    <vt:vector size="24" baseType="variant">
      <vt:variant>
        <vt:i4>2883594</vt:i4>
      </vt:variant>
      <vt:variant>
        <vt:i4>17</vt:i4>
      </vt:variant>
      <vt:variant>
        <vt:i4>0</vt:i4>
      </vt:variant>
      <vt:variant>
        <vt:i4>5</vt:i4>
      </vt:variant>
      <vt:variant>
        <vt:lpwstr/>
      </vt:variant>
      <vt:variant>
        <vt:lpwstr>_Toc7694497</vt:lpwstr>
      </vt:variant>
      <vt:variant>
        <vt:i4>2555905</vt:i4>
      </vt:variant>
      <vt:variant>
        <vt:i4>11</vt:i4>
      </vt:variant>
      <vt:variant>
        <vt:i4>0</vt:i4>
      </vt:variant>
      <vt:variant>
        <vt:i4>5</vt:i4>
      </vt:variant>
      <vt:variant>
        <vt:lpwstr/>
      </vt:variant>
      <vt:variant>
        <vt:lpwstr>_Toc7717708</vt:lpwstr>
      </vt:variant>
      <vt:variant>
        <vt:i4>2555905</vt:i4>
      </vt:variant>
      <vt:variant>
        <vt:i4>8</vt:i4>
      </vt:variant>
      <vt:variant>
        <vt:i4>0</vt:i4>
      </vt:variant>
      <vt:variant>
        <vt:i4>5</vt:i4>
      </vt:variant>
      <vt:variant>
        <vt:lpwstr/>
      </vt:variant>
      <vt:variant>
        <vt:lpwstr>_Toc7717707</vt:lpwstr>
      </vt:variant>
      <vt:variant>
        <vt:i4>2555905</vt:i4>
      </vt:variant>
      <vt:variant>
        <vt:i4>5</vt:i4>
      </vt:variant>
      <vt:variant>
        <vt:i4>0</vt:i4>
      </vt:variant>
      <vt:variant>
        <vt:i4>5</vt:i4>
      </vt:variant>
      <vt:variant>
        <vt:lpwstr/>
      </vt:variant>
      <vt:variant>
        <vt:lpwstr>_Toc7717706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Henrik Enbuske</cp:lastModifiedBy>
  <cp:revision>226</cp:revision>
  <cp:lastPrinted>2008-01-31T07:09:00Z</cp:lastPrinted>
  <dcterms:created xsi:type="dcterms:W3CDTF">2019-05-01T12:39:00Z</dcterms:created>
  <dcterms:modified xsi:type="dcterms:W3CDTF">2019-05-03T02:30:00Z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12c5dee4-71b8-493e-8773-9c879ad2e410</vt:lpwstr>
  </property>
</Properties>
</file>